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widowControl/>
        <w:shd w:val="clear" w:color="auto" w:fill="FFFFFF"/>
        <w:spacing w:before="0" w:beforeAutospacing="0" w:after="0" w:afterAutospacing="0"/>
        <w:jc w:val="center"/>
        <w:rPr>
          <w:rFonts w:ascii="Arial" w:hAnsi="Arial" w:cs="Arial"/>
          <w:b/>
          <w:bCs/>
          <w:color w:val="4F4E40"/>
          <w:shd w:val="clear" w:color="auto" w:fill="FFFFFF"/>
        </w:rPr>
      </w:pPr>
      <w:bookmarkStart w:id="0" w:name="_GoBack"/>
      <w:bookmarkEnd w:id="0"/>
      <w:r>
        <w:rPr>
          <w:rFonts w:hint="eastAsia" w:ascii="Arial" w:hAnsi="Arial" w:cs="Arial"/>
          <w:b/>
          <w:bCs/>
          <w:color w:val="4F4E40"/>
          <w:shd w:val="clear" w:color="auto" w:fill="FFFFFF"/>
        </w:rPr>
        <w:t>2</w:t>
      </w:r>
      <w:r>
        <w:rPr>
          <w:rFonts w:ascii="Arial" w:hAnsi="Arial" w:cs="Arial"/>
          <w:b/>
          <w:bCs/>
          <w:color w:val="4F4E40"/>
          <w:shd w:val="clear" w:color="auto" w:fill="FFFFFF"/>
        </w:rPr>
        <w:t>02</w:t>
      </w:r>
      <w:r>
        <w:rPr>
          <w:rFonts w:hint="eastAsia" w:ascii="Arial" w:hAnsi="Arial" w:cs="Arial"/>
          <w:b/>
          <w:bCs/>
          <w:color w:val="4F4E40"/>
          <w:shd w:val="clear" w:color="auto" w:fill="FFFFFF"/>
        </w:rPr>
        <w:t>3年全国大学生数学建模竞赛赛题讲评与经验交流会在郑州举行</w:t>
      </w:r>
    </w:p>
    <w:p>
      <w:pPr>
        <w:pStyle w:val="4"/>
        <w:widowControl/>
        <w:shd w:val="clear" w:color="auto" w:fill="FFFFFF"/>
        <w:spacing w:before="0" w:beforeAutospacing="0" w:after="0" w:afterAutospacing="0"/>
        <w:rPr>
          <w:rFonts w:hint="eastAsia" w:ascii="Arial" w:hAnsi="Arial" w:cs="Arial"/>
          <w:color w:val="4F4E40"/>
          <w:sz w:val="21"/>
          <w:szCs w:val="21"/>
          <w:shd w:val="clear" w:color="auto" w:fill="FFFFFF"/>
        </w:rPr>
      </w:pPr>
      <w:r>
        <w:rPr>
          <w:rFonts w:hint="eastAsia" w:ascii="Arial" w:hAnsi="Arial" w:cs="Arial"/>
          <w:color w:val="4F4E40"/>
          <w:sz w:val="21"/>
          <w:szCs w:val="21"/>
          <w:shd w:val="clear" w:color="auto" w:fill="FFFFFF"/>
        </w:rPr>
        <w:t xml:space="preserve"> </w:t>
      </w:r>
      <w:r>
        <w:rPr>
          <w:rFonts w:ascii="Arial" w:hAnsi="Arial" w:cs="Arial"/>
          <w:color w:val="4F4E40"/>
          <w:sz w:val="21"/>
          <w:szCs w:val="21"/>
          <w:shd w:val="clear" w:color="auto" w:fill="FFFFFF"/>
        </w:rPr>
        <w:t xml:space="preserve">   </w:t>
      </w:r>
    </w:p>
    <w:p>
      <w:pPr>
        <w:pStyle w:val="4"/>
        <w:widowControl/>
        <w:shd w:val="clear" w:color="auto" w:fill="FFFFFF"/>
        <w:spacing w:before="0" w:beforeAutospacing="0" w:after="0" w:afterAutospacing="0" w:line="360" w:lineRule="auto"/>
        <w:ind w:firstLine="420" w:firstLineChars="200"/>
        <w:rPr>
          <w:rFonts w:ascii="Arial" w:hAnsi="Arial" w:cs="Arial"/>
          <w:color w:val="4F4E40"/>
          <w:sz w:val="21"/>
          <w:szCs w:val="21"/>
          <w:shd w:val="clear" w:color="auto" w:fill="FFFFFF"/>
        </w:rPr>
      </w:pPr>
      <w:r>
        <w:rPr>
          <w:rFonts w:hint="eastAsia" w:ascii="Arial" w:hAnsi="Arial" w:cs="Arial"/>
          <w:color w:val="4F4E40"/>
          <w:sz w:val="21"/>
          <w:szCs w:val="21"/>
          <w:shd w:val="clear" w:color="auto" w:fill="FFFFFF"/>
        </w:rPr>
        <w:t>2</w:t>
      </w:r>
      <w:r>
        <w:rPr>
          <w:rFonts w:ascii="Arial" w:hAnsi="Arial" w:cs="Arial"/>
          <w:color w:val="4F4E40"/>
          <w:sz w:val="21"/>
          <w:szCs w:val="21"/>
          <w:shd w:val="clear" w:color="auto" w:fill="FFFFFF"/>
        </w:rPr>
        <w:t>023</w:t>
      </w:r>
      <w:r>
        <w:rPr>
          <w:rFonts w:hint="eastAsia" w:ascii="Arial" w:hAnsi="Arial" w:cs="Arial"/>
          <w:color w:val="4F4E40"/>
          <w:sz w:val="21"/>
          <w:szCs w:val="21"/>
          <w:shd w:val="clear" w:color="auto" w:fill="FFFFFF"/>
        </w:rPr>
        <w:t>年11月24日至26日，“</w:t>
      </w:r>
      <w:r>
        <w:rPr>
          <w:rFonts w:ascii="Arial" w:hAnsi="Arial" w:cs="Arial"/>
          <w:color w:val="4F4E40"/>
          <w:sz w:val="21"/>
          <w:szCs w:val="21"/>
          <w:shd w:val="clear" w:color="auto" w:fill="FFFFFF"/>
        </w:rPr>
        <w:t>202</w:t>
      </w:r>
      <w:r>
        <w:rPr>
          <w:rFonts w:hint="eastAsia" w:ascii="Arial" w:hAnsi="Arial" w:cs="Arial"/>
          <w:color w:val="4F4E40"/>
          <w:sz w:val="21"/>
          <w:szCs w:val="21"/>
          <w:shd w:val="clear" w:color="auto" w:fill="FFFFFF"/>
        </w:rPr>
        <w:t>3</w:t>
      </w:r>
      <w:r>
        <w:rPr>
          <w:rFonts w:ascii="Arial" w:hAnsi="Arial" w:cs="Arial"/>
          <w:color w:val="4F4E40"/>
          <w:sz w:val="21"/>
          <w:szCs w:val="21"/>
          <w:shd w:val="clear" w:color="auto" w:fill="FFFFFF"/>
        </w:rPr>
        <w:t>年全国大学生数学建模竞赛赛题讲评与经验交流会</w:t>
      </w:r>
      <w:r>
        <w:rPr>
          <w:rFonts w:hint="eastAsia" w:ascii="Arial" w:hAnsi="Arial" w:cs="Arial"/>
          <w:color w:val="4F4E40"/>
          <w:sz w:val="21"/>
          <w:szCs w:val="21"/>
          <w:shd w:val="clear" w:color="auto" w:fill="FFFFFF"/>
        </w:rPr>
        <w:t>”</w:t>
      </w:r>
      <w:r>
        <w:rPr>
          <w:rFonts w:ascii="Arial" w:hAnsi="Arial" w:cs="Arial"/>
          <w:color w:val="4F4E40"/>
          <w:sz w:val="21"/>
          <w:szCs w:val="21"/>
          <w:shd w:val="clear" w:color="auto" w:fill="FFFFFF"/>
        </w:rPr>
        <w:t>在</w:t>
      </w:r>
      <w:r>
        <w:rPr>
          <w:rFonts w:hint="eastAsia" w:ascii="Arial" w:hAnsi="Arial" w:cs="Arial"/>
          <w:color w:val="4F4E40"/>
          <w:sz w:val="21"/>
          <w:szCs w:val="21"/>
          <w:shd w:val="clear" w:color="auto" w:fill="FFFFFF"/>
        </w:rPr>
        <w:t>郑州融通紫荆山宾馆成功举行。会议</w:t>
      </w:r>
      <w:r>
        <w:rPr>
          <w:rFonts w:ascii="Arial" w:hAnsi="Arial" w:cs="Arial"/>
          <w:color w:val="4F4E40"/>
          <w:sz w:val="21"/>
          <w:szCs w:val="21"/>
          <w:shd w:val="clear" w:color="auto" w:fill="FFFFFF"/>
        </w:rPr>
        <w:t>由中国工业与应用数学学会</w:t>
      </w:r>
      <w:r>
        <w:rPr>
          <w:rFonts w:hint="eastAsia" w:ascii="Arial" w:hAnsi="Arial" w:cs="Arial"/>
          <w:color w:val="4F4E40"/>
          <w:sz w:val="21"/>
          <w:szCs w:val="21"/>
          <w:shd w:val="clear" w:color="auto" w:fill="FFFFFF"/>
        </w:rPr>
        <w:t>（以下简称学会）</w:t>
      </w:r>
      <w:r>
        <w:rPr>
          <w:rFonts w:ascii="Arial" w:hAnsi="Arial" w:cs="Arial"/>
          <w:color w:val="4F4E40"/>
          <w:sz w:val="21"/>
          <w:szCs w:val="21"/>
          <w:shd w:val="clear" w:color="auto" w:fill="FFFFFF"/>
        </w:rPr>
        <w:t>主办，学会数学模型专业委员会、全国大学生数学建模竞赛组委会</w:t>
      </w:r>
      <w:r>
        <w:rPr>
          <w:rFonts w:hint="eastAsia" w:ascii="Arial" w:hAnsi="Arial" w:cs="Arial"/>
          <w:color w:val="4F4E40"/>
          <w:sz w:val="21"/>
          <w:szCs w:val="21"/>
          <w:shd w:val="clear" w:color="auto" w:fill="FFFFFF"/>
        </w:rPr>
        <w:t>（以下简称全国组委会）和郑州轻工业大学共同</w:t>
      </w:r>
      <w:r>
        <w:rPr>
          <w:rFonts w:ascii="Arial" w:hAnsi="Arial" w:cs="Arial"/>
          <w:color w:val="4F4E40"/>
          <w:sz w:val="21"/>
          <w:szCs w:val="21"/>
          <w:shd w:val="clear" w:color="auto" w:fill="FFFFFF"/>
        </w:rPr>
        <w:t>承办，全国大学生数学建模竞赛</w:t>
      </w:r>
      <w:r>
        <w:rPr>
          <w:rFonts w:hint="eastAsia" w:ascii="Arial" w:hAnsi="Arial" w:cs="Arial"/>
          <w:color w:val="4F4E40"/>
          <w:sz w:val="21"/>
          <w:szCs w:val="21"/>
          <w:shd w:val="clear" w:color="auto" w:fill="FFFFFF"/>
        </w:rPr>
        <w:t>河南</w:t>
      </w:r>
      <w:r>
        <w:rPr>
          <w:rFonts w:ascii="Arial" w:hAnsi="Arial" w:cs="Arial"/>
          <w:color w:val="4F4E40"/>
          <w:sz w:val="21"/>
          <w:szCs w:val="21"/>
          <w:shd w:val="clear" w:color="auto" w:fill="FFFFFF"/>
        </w:rPr>
        <w:t>赛区组委会协办</w:t>
      </w:r>
      <w:r>
        <w:rPr>
          <w:rFonts w:hint="eastAsia" w:ascii="Arial" w:hAnsi="Arial" w:cs="Arial"/>
          <w:color w:val="4F4E40"/>
          <w:sz w:val="21"/>
          <w:szCs w:val="21"/>
          <w:shd w:val="clear" w:color="auto" w:fill="FFFFFF"/>
        </w:rPr>
        <w:t>，</w:t>
      </w:r>
      <w:r>
        <w:rPr>
          <w:rFonts w:ascii="Arial" w:hAnsi="Arial" w:cs="Arial"/>
          <w:color w:val="4F4E40"/>
          <w:sz w:val="21"/>
          <w:szCs w:val="21"/>
          <w:shd w:val="clear" w:color="auto" w:fill="FFFFFF"/>
        </w:rPr>
        <w:t>来自全国</w:t>
      </w:r>
      <w:r>
        <w:rPr>
          <w:rFonts w:hint="eastAsia" w:ascii="Arial" w:hAnsi="Arial" w:cs="Arial"/>
          <w:color w:val="4F4E40"/>
          <w:sz w:val="21"/>
          <w:szCs w:val="21"/>
          <w:shd w:val="clear" w:color="auto" w:fill="FFFFFF"/>
        </w:rPr>
        <w:t>高校的</w:t>
      </w:r>
      <w:r>
        <w:rPr>
          <w:rFonts w:hint="eastAsia" w:ascii="Arial" w:hAnsi="Arial" w:cs="Arial"/>
          <w:color w:val="000000"/>
          <w:sz w:val="21"/>
          <w:szCs w:val="21"/>
          <w:shd w:val="clear" w:color="auto" w:fill="FFFFFF"/>
        </w:rPr>
        <w:t>8</w:t>
      </w:r>
      <w:r>
        <w:rPr>
          <w:rFonts w:ascii="Arial" w:hAnsi="Arial" w:cs="Arial"/>
          <w:color w:val="000000"/>
          <w:sz w:val="21"/>
          <w:szCs w:val="21"/>
          <w:shd w:val="clear" w:color="auto" w:fill="FFFFFF"/>
        </w:rPr>
        <w:t>00</w:t>
      </w:r>
      <w:r>
        <w:rPr>
          <w:rFonts w:hint="eastAsia" w:ascii="Arial" w:hAnsi="Arial" w:cs="Arial"/>
          <w:color w:val="000000"/>
          <w:sz w:val="21"/>
          <w:szCs w:val="21"/>
          <w:shd w:val="clear" w:color="auto" w:fill="FFFFFF"/>
        </w:rPr>
        <w:t>余名</w:t>
      </w:r>
      <w:r>
        <w:rPr>
          <w:rFonts w:ascii="Arial" w:hAnsi="Arial" w:cs="Arial"/>
          <w:color w:val="4F4E40"/>
          <w:sz w:val="21"/>
          <w:szCs w:val="21"/>
          <w:shd w:val="clear" w:color="auto" w:fill="FFFFFF"/>
        </w:rPr>
        <w:t>数学建模一线教师参加了本次大会。</w:t>
      </w:r>
    </w:p>
    <w:p>
      <w:pPr>
        <w:pStyle w:val="4"/>
        <w:widowControl/>
        <w:shd w:val="clear" w:color="auto" w:fill="FFFFFF"/>
        <w:spacing w:before="0" w:beforeAutospacing="0" w:after="0" w:afterAutospacing="0" w:line="360" w:lineRule="auto"/>
        <w:rPr>
          <w:rFonts w:hint="eastAsia" w:ascii="Arial" w:hAnsi="Arial" w:cs="Arial"/>
          <w:color w:val="4F4E40"/>
          <w:sz w:val="21"/>
          <w:szCs w:val="21"/>
          <w:shd w:val="clear" w:color="auto" w:fill="FFFFFF"/>
        </w:rPr>
      </w:pPr>
      <w:r>
        <w:rPr>
          <w:rFonts w:ascii="Arial" w:hAnsi="Arial" w:cs="Arial"/>
          <w:color w:val="4F4E40"/>
          <w:sz w:val="21"/>
          <w:szCs w:val="21"/>
          <w:shd w:val="clear" w:color="auto" w:fill="FFFFFF"/>
        </w:rPr>
        <w:drawing>
          <wp:inline distT="0" distB="0" distL="114300" distR="114300">
            <wp:extent cx="5829300" cy="3004820"/>
            <wp:effectExtent l="0" t="0" r="0" b="5080"/>
            <wp:docPr id="1" name="图片 1" descr="IMG_0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988(1)"/>
                    <pic:cNvPicPr>
                      <a:picLocks noChangeAspect="1"/>
                    </pic:cNvPicPr>
                  </pic:nvPicPr>
                  <pic:blipFill>
                    <a:blip r:embed="rId4"/>
                    <a:stretch>
                      <a:fillRect/>
                    </a:stretch>
                  </pic:blipFill>
                  <pic:spPr>
                    <a:xfrm>
                      <a:off x="0" y="0"/>
                      <a:ext cx="5829300" cy="3004820"/>
                    </a:xfrm>
                    <a:prstGeom prst="rect">
                      <a:avLst/>
                    </a:prstGeom>
                    <a:noFill/>
                    <a:ln>
                      <a:noFill/>
                    </a:ln>
                  </pic:spPr>
                </pic:pic>
              </a:graphicData>
            </a:graphic>
          </wp:inline>
        </w:drawing>
      </w:r>
    </w:p>
    <w:p>
      <w:pPr>
        <w:pStyle w:val="4"/>
        <w:widowControl/>
        <w:shd w:val="clear" w:color="auto" w:fill="FFFFFF"/>
        <w:spacing w:before="0" w:beforeAutospacing="0" w:after="0" w:afterAutospacing="0" w:line="360" w:lineRule="auto"/>
        <w:jc w:val="center"/>
        <w:rPr>
          <w:rFonts w:ascii="仿宋" w:hAnsi="仿宋" w:eastAsia="仿宋" w:cs="仿宋"/>
          <w:color w:val="4F4E40"/>
          <w:sz w:val="21"/>
          <w:szCs w:val="21"/>
          <w:shd w:val="clear" w:color="auto" w:fill="FFFFFF"/>
        </w:rPr>
      </w:pPr>
      <w:r>
        <w:drawing>
          <wp:inline distT="0" distB="0" distL="114300" distR="114300">
            <wp:extent cx="5733415" cy="3505200"/>
            <wp:effectExtent l="0" t="0" r="6985" b="0"/>
            <wp:docPr id="2" name="图片 24" descr="C:/Users/DELL/Desktop/2023年讲评会宣传资料--数模专委会/2会议开幕式现场.jpg2会议开幕式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descr="C:/Users/DELL/Desktop/2023年讲评会宣传资料--数模专委会/2会议开幕式现场.jpg2会议开幕式现场"/>
                    <pic:cNvPicPr>
                      <a:picLocks noChangeAspect="1"/>
                    </pic:cNvPicPr>
                  </pic:nvPicPr>
                  <pic:blipFill>
                    <a:blip r:embed="rId5"/>
                    <a:srcRect t="9248" b="9248"/>
                    <a:stretch>
                      <a:fillRect/>
                    </a:stretch>
                  </pic:blipFill>
                  <pic:spPr>
                    <a:xfrm>
                      <a:off x="0" y="0"/>
                      <a:ext cx="5733415" cy="3505200"/>
                    </a:xfrm>
                    <a:prstGeom prst="rect">
                      <a:avLst/>
                    </a:prstGeom>
                    <a:noFill/>
                    <a:ln>
                      <a:noFill/>
                    </a:ln>
                  </pic:spPr>
                </pic:pic>
              </a:graphicData>
            </a:graphic>
          </wp:inline>
        </w:drawing>
      </w:r>
    </w:p>
    <w:p>
      <w:pPr>
        <w:pStyle w:val="4"/>
        <w:widowControl/>
        <w:shd w:val="clear" w:color="auto" w:fill="FFFFFF"/>
        <w:spacing w:before="0" w:beforeAutospacing="0" w:after="0" w:afterAutospacing="0" w:line="360" w:lineRule="auto"/>
        <w:jc w:val="center"/>
        <w:rPr>
          <w:rFonts w:ascii="Arial" w:hAnsi="Arial" w:cs="Arial"/>
          <w:color w:val="4F4E40"/>
          <w:sz w:val="21"/>
          <w:szCs w:val="21"/>
          <w:shd w:val="clear" w:color="auto" w:fill="FFFFFF"/>
        </w:rPr>
      </w:pPr>
      <w:r>
        <w:rPr>
          <w:rFonts w:hint="eastAsia" w:ascii="仿宋" w:hAnsi="仿宋" w:eastAsia="仿宋" w:cs="仿宋"/>
          <w:color w:val="4F4E40"/>
          <w:sz w:val="21"/>
          <w:szCs w:val="21"/>
          <w:shd w:val="clear" w:color="auto" w:fill="FFFFFF"/>
        </w:rPr>
        <w:t>会议开幕式现场实景图</w:t>
      </w:r>
    </w:p>
    <w:p>
      <w:pPr>
        <w:pStyle w:val="4"/>
        <w:widowControl/>
        <w:shd w:val="clear" w:color="auto" w:fill="FFFFFF"/>
        <w:spacing w:before="0" w:beforeAutospacing="0" w:after="0" w:afterAutospacing="0" w:line="360" w:lineRule="auto"/>
        <w:ind w:firstLine="420" w:firstLineChars="200"/>
        <w:rPr>
          <w:rFonts w:ascii="Arial" w:hAnsi="Arial" w:cs="Arial"/>
          <w:color w:val="000000"/>
          <w:sz w:val="21"/>
          <w:szCs w:val="21"/>
          <w:shd w:val="clear" w:color="auto" w:fill="FFFFFF"/>
        </w:rPr>
      </w:pPr>
      <w:r>
        <w:rPr>
          <w:rFonts w:ascii="Arial" w:hAnsi="Arial" w:cs="Arial"/>
          <w:color w:val="4F4E40"/>
          <w:sz w:val="21"/>
          <w:szCs w:val="21"/>
          <w:shd w:val="clear" w:color="auto" w:fill="FFFFFF"/>
        </w:rPr>
        <w:t>会议开幕式由学会数学模型专业委员会主任</w:t>
      </w:r>
      <w:r>
        <w:rPr>
          <w:rFonts w:hint="eastAsia" w:ascii="Arial" w:hAnsi="Arial" w:cs="Arial"/>
          <w:color w:val="4F4E40"/>
          <w:sz w:val="21"/>
          <w:szCs w:val="21"/>
          <w:shd w:val="clear" w:color="auto" w:fill="FFFFFF"/>
        </w:rPr>
        <w:t>鲁习文</w:t>
      </w:r>
      <w:r>
        <w:rPr>
          <w:rFonts w:ascii="Arial" w:hAnsi="Arial" w:cs="Arial"/>
          <w:color w:val="4F4E40"/>
          <w:sz w:val="21"/>
          <w:szCs w:val="21"/>
          <w:shd w:val="clear" w:color="auto" w:fill="FFFFFF"/>
        </w:rPr>
        <w:t>教授主持</w:t>
      </w:r>
      <w:r>
        <w:rPr>
          <w:rFonts w:hint="eastAsia" w:ascii="Arial" w:hAnsi="Arial" w:cs="Arial"/>
          <w:color w:val="4F4E40"/>
          <w:sz w:val="21"/>
          <w:szCs w:val="21"/>
          <w:shd w:val="clear" w:color="auto" w:fill="FFFFFF"/>
        </w:rPr>
        <w:t>，</w:t>
      </w:r>
      <w:r>
        <w:rPr>
          <w:rFonts w:hint="eastAsia" w:ascii="Arial" w:hAnsi="Arial" w:cs="Arial"/>
          <w:color w:val="000000"/>
          <w:sz w:val="21"/>
          <w:szCs w:val="21"/>
          <w:shd w:val="clear" w:color="auto" w:fill="FFFFFF"/>
        </w:rPr>
        <w:t>郑州轻工业大学纪委顾兴良书记、全国组委会副主任兼秘书长谢金星教授、全国大学生数学建模竞赛河南赛区组委会主任耿献国教授先后</w:t>
      </w:r>
      <w:r>
        <w:rPr>
          <w:rFonts w:ascii="Arial" w:hAnsi="Arial" w:cs="Arial"/>
          <w:color w:val="000000"/>
          <w:sz w:val="21"/>
          <w:szCs w:val="21"/>
          <w:shd w:val="clear" w:color="auto" w:fill="FFFFFF"/>
        </w:rPr>
        <w:t>致辞</w:t>
      </w:r>
      <w:r>
        <w:rPr>
          <w:rFonts w:hint="eastAsia" w:ascii="Arial" w:hAnsi="Arial" w:cs="Arial"/>
          <w:color w:val="000000"/>
          <w:sz w:val="21"/>
          <w:szCs w:val="21"/>
          <w:shd w:val="clear" w:color="auto" w:fill="FFFFFF"/>
        </w:rPr>
        <w:t>。</w:t>
      </w:r>
      <w:r>
        <w:rPr>
          <w:rFonts w:ascii="Arial" w:hAnsi="Arial" w:cs="Arial"/>
          <w:color w:val="000000"/>
          <w:sz w:val="21"/>
          <w:szCs w:val="21"/>
          <w:shd w:val="clear" w:color="auto" w:fill="FFFFFF"/>
        </w:rPr>
        <w:t>出席开幕式的还有</w:t>
      </w:r>
      <w:r>
        <w:rPr>
          <w:rFonts w:hint="eastAsia" w:ascii="Arial" w:hAnsi="Arial" w:cs="Arial"/>
          <w:color w:val="000000"/>
          <w:sz w:val="21"/>
          <w:szCs w:val="21"/>
          <w:shd w:val="clear" w:color="auto" w:fill="FFFFFF"/>
        </w:rPr>
        <w:t>全国组委会顾问陈叔平教授，郑州轻工业大学数学与信息科学学院郭晓丽书记和黄士国院长，全国组委会专家组秘书长</w:t>
      </w:r>
      <w:r>
        <w:rPr>
          <w:rFonts w:ascii="Arial" w:hAnsi="Arial" w:cs="Arial"/>
          <w:color w:val="000000"/>
          <w:sz w:val="21"/>
          <w:szCs w:val="21"/>
          <w:shd w:val="clear" w:color="auto" w:fill="FFFFFF"/>
        </w:rPr>
        <w:t>蔡志杰教授</w:t>
      </w:r>
      <w:r>
        <w:rPr>
          <w:rFonts w:hint="eastAsia" w:ascii="Arial" w:hAnsi="Arial" w:cs="Arial"/>
          <w:color w:val="000000"/>
          <w:sz w:val="21"/>
          <w:szCs w:val="21"/>
          <w:shd w:val="clear" w:color="auto" w:fill="FFFFFF"/>
        </w:rPr>
        <w:t>，学会数学模型专业委员会副主任韩中庚教授、秘书长</w:t>
      </w:r>
      <w:r>
        <w:rPr>
          <w:rFonts w:ascii="Arial" w:hAnsi="Arial" w:cs="Arial"/>
          <w:color w:val="000000"/>
          <w:sz w:val="21"/>
          <w:szCs w:val="21"/>
          <w:shd w:val="clear" w:color="auto" w:fill="FFFFFF"/>
        </w:rPr>
        <w:t>陆立强教授</w:t>
      </w:r>
      <w:r>
        <w:rPr>
          <w:rFonts w:hint="eastAsia" w:ascii="Arial" w:hAnsi="Arial" w:cs="Arial"/>
          <w:color w:val="000000"/>
          <w:sz w:val="21"/>
          <w:szCs w:val="21"/>
          <w:shd w:val="clear" w:color="auto" w:fill="FFFFFF"/>
        </w:rPr>
        <w:t>和副秘书长陈雄达教授</w:t>
      </w:r>
      <w:r>
        <w:rPr>
          <w:rFonts w:hint="eastAsia" w:ascii="Times New Roman" w:hAnsi="Times New Roman"/>
          <w:color w:val="000000"/>
          <w:sz w:val="21"/>
          <w:szCs w:val="21"/>
        </w:rPr>
        <w:t>，</w:t>
      </w:r>
      <w:r>
        <w:rPr>
          <w:rFonts w:hint="eastAsia" w:ascii="Arial" w:hAnsi="Arial" w:cs="Arial"/>
          <w:color w:val="000000"/>
          <w:sz w:val="21"/>
          <w:szCs w:val="21"/>
          <w:shd w:val="clear" w:color="auto" w:fill="FFFFFF"/>
        </w:rPr>
        <w:t>全国组委会副秘书长唐宏岩副教授和张文博副教授等。全国组委会专家组部分成员和学会数学模型专业委员会部分委员参加了会议。</w:t>
      </w:r>
    </w:p>
    <w:p>
      <w:pPr>
        <w:pStyle w:val="4"/>
        <w:widowControl/>
        <w:shd w:val="clear" w:color="auto" w:fill="FFFFFF"/>
        <w:spacing w:before="0" w:beforeAutospacing="0" w:after="0" w:afterAutospacing="0" w:line="360" w:lineRule="auto"/>
        <w:ind w:firstLine="420" w:firstLineChars="200"/>
        <w:rPr>
          <w:rFonts w:hint="eastAsia" w:ascii="Arial" w:hAnsi="Arial" w:cs="Arial"/>
          <w:color w:val="FF0000"/>
          <w:sz w:val="21"/>
          <w:szCs w:val="21"/>
          <w:shd w:val="clear" w:color="auto" w:fill="FFFFFF"/>
        </w:rPr>
      </w:pPr>
      <w:r>
        <w:rPr>
          <w:rFonts w:hint="eastAsia" w:ascii="Arial" w:hAnsi="Arial" w:cs="Arial"/>
          <w:color w:val="4F4E40"/>
          <w:sz w:val="21"/>
          <w:szCs w:val="21"/>
          <w:shd w:val="clear" w:color="auto" w:fill="FFFFFF"/>
        </w:rPr>
        <w:t>在简短的开幕式之后，</w:t>
      </w:r>
      <w:r>
        <w:rPr>
          <w:rFonts w:ascii="Arial" w:hAnsi="Arial" w:cs="Arial"/>
          <w:color w:val="4F4E40"/>
          <w:sz w:val="21"/>
          <w:szCs w:val="21"/>
          <w:shd w:val="clear" w:color="auto" w:fill="FFFFFF"/>
        </w:rPr>
        <w:t>首先</w:t>
      </w:r>
      <w:r>
        <w:rPr>
          <w:rFonts w:hint="eastAsia" w:ascii="Arial" w:hAnsi="Arial" w:cs="Arial"/>
          <w:color w:val="4F4E40"/>
          <w:sz w:val="21"/>
          <w:szCs w:val="21"/>
          <w:shd w:val="clear" w:color="auto" w:fill="FFFFFF"/>
        </w:rPr>
        <w:t>由全国组委会副主任兼秘书长</w:t>
      </w:r>
      <w:r>
        <w:rPr>
          <w:rFonts w:ascii="Arial" w:hAnsi="Arial" w:cs="Arial"/>
          <w:color w:val="4F4E40"/>
          <w:sz w:val="21"/>
          <w:szCs w:val="21"/>
          <w:shd w:val="clear" w:color="auto" w:fill="FFFFFF"/>
        </w:rPr>
        <w:t>谢金星</w:t>
      </w:r>
      <w:r>
        <w:rPr>
          <w:rFonts w:hint="eastAsia" w:ascii="Arial" w:hAnsi="Arial" w:cs="Arial"/>
          <w:color w:val="4F4E40"/>
          <w:sz w:val="21"/>
          <w:szCs w:val="21"/>
          <w:shd w:val="clear" w:color="auto" w:fill="FFFFFF"/>
        </w:rPr>
        <w:t>教授介绍了</w:t>
      </w:r>
      <w:r>
        <w:rPr>
          <w:rFonts w:ascii="Arial" w:hAnsi="Arial" w:cs="Arial"/>
          <w:color w:val="4F4E40"/>
          <w:sz w:val="21"/>
          <w:szCs w:val="21"/>
          <w:shd w:val="clear" w:color="auto" w:fill="FFFFFF"/>
        </w:rPr>
        <w:t>202</w:t>
      </w:r>
      <w:r>
        <w:rPr>
          <w:rFonts w:hint="eastAsia" w:ascii="Arial" w:hAnsi="Arial" w:cs="Arial"/>
          <w:color w:val="4F4E40"/>
          <w:sz w:val="21"/>
          <w:szCs w:val="21"/>
          <w:shd w:val="clear" w:color="auto" w:fill="FFFFFF"/>
        </w:rPr>
        <w:t>3</w:t>
      </w:r>
      <w:r>
        <w:rPr>
          <w:rFonts w:ascii="Arial" w:hAnsi="Arial" w:cs="Arial"/>
          <w:color w:val="4F4E40"/>
          <w:sz w:val="21"/>
          <w:szCs w:val="21"/>
          <w:shd w:val="clear" w:color="auto" w:fill="FFFFFF"/>
        </w:rPr>
        <w:t>年全国</w:t>
      </w:r>
      <w:r>
        <w:rPr>
          <w:rFonts w:hint="eastAsia" w:ascii="Arial" w:hAnsi="Arial" w:cs="Arial"/>
          <w:color w:val="4F4E40"/>
          <w:sz w:val="21"/>
          <w:szCs w:val="21"/>
          <w:shd w:val="clear" w:color="auto" w:fill="FFFFFF"/>
        </w:rPr>
        <w:t>大学生数学建模</w:t>
      </w:r>
      <w:r>
        <w:rPr>
          <w:rFonts w:ascii="Arial" w:hAnsi="Arial" w:cs="Arial"/>
          <w:color w:val="4F4E40"/>
          <w:sz w:val="21"/>
          <w:szCs w:val="21"/>
          <w:shd w:val="clear" w:color="auto" w:fill="FFFFFF"/>
        </w:rPr>
        <w:t>竞赛</w:t>
      </w:r>
      <w:r>
        <w:rPr>
          <w:rFonts w:hint="eastAsia" w:ascii="Arial" w:hAnsi="Arial" w:cs="Arial"/>
          <w:color w:val="4F4E40"/>
          <w:sz w:val="21"/>
          <w:szCs w:val="21"/>
          <w:shd w:val="clear" w:color="auto" w:fill="FFFFFF"/>
        </w:rPr>
        <w:t>的报名</w:t>
      </w:r>
      <w:r>
        <w:rPr>
          <w:rFonts w:ascii="Arial" w:hAnsi="Arial" w:cs="Arial"/>
          <w:color w:val="4F4E40"/>
          <w:sz w:val="21"/>
          <w:szCs w:val="21"/>
          <w:shd w:val="clear" w:color="auto" w:fill="FFFFFF"/>
        </w:rPr>
        <w:t>、参赛、评阅</w:t>
      </w:r>
      <w:r>
        <w:rPr>
          <w:rFonts w:hint="eastAsia" w:ascii="Arial" w:hAnsi="Arial" w:cs="Arial"/>
          <w:color w:val="4F4E40"/>
          <w:sz w:val="21"/>
          <w:szCs w:val="21"/>
          <w:shd w:val="clear" w:color="auto" w:fill="FFFFFF"/>
        </w:rPr>
        <w:t>及获奖</w:t>
      </w:r>
      <w:r>
        <w:rPr>
          <w:rFonts w:ascii="Arial" w:hAnsi="Arial" w:cs="Arial"/>
          <w:color w:val="4F4E40"/>
          <w:sz w:val="21"/>
          <w:szCs w:val="21"/>
          <w:shd w:val="clear" w:color="auto" w:fill="FFFFFF"/>
        </w:rPr>
        <w:t>等基本情况，</w:t>
      </w:r>
      <w:r>
        <w:rPr>
          <w:rFonts w:hint="eastAsia" w:ascii="Arial" w:hAnsi="Arial" w:cs="Arial"/>
          <w:color w:val="4F4E40"/>
          <w:sz w:val="21"/>
          <w:szCs w:val="21"/>
          <w:shd w:val="clear" w:color="auto" w:fill="FFFFFF"/>
        </w:rPr>
        <w:t>分析了可能引起参赛论文查重率高的相关原因，提示了参赛的注意事项，</w:t>
      </w:r>
      <w:r>
        <w:rPr>
          <w:rFonts w:ascii="Arial" w:hAnsi="Arial" w:cs="Arial"/>
          <w:color w:val="4F4E40"/>
          <w:sz w:val="21"/>
          <w:szCs w:val="21"/>
          <w:shd w:val="clear" w:color="auto" w:fill="FFFFFF"/>
        </w:rPr>
        <w:t>同时</w:t>
      </w:r>
      <w:r>
        <w:rPr>
          <w:rFonts w:hint="eastAsia" w:ascii="Arial" w:hAnsi="Arial" w:cs="Arial"/>
          <w:color w:val="4F4E40"/>
          <w:sz w:val="21"/>
          <w:szCs w:val="21"/>
          <w:shd w:val="clear" w:color="auto" w:fill="FFFFFF"/>
        </w:rPr>
        <w:t>针对</w:t>
      </w:r>
      <w:r>
        <w:rPr>
          <w:rFonts w:ascii="Arial" w:hAnsi="Arial" w:cs="Arial"/>
          <w:color w:val="4F4E40"/>
          <w:sz w:val="21"/>
          <w:szCs w:val="21"/>
          <w:shd w:val="clear" w:color="auto" w:fill="FFFFFF"/>
        </w:rPr>
        <w:t>如何促进竞赛</w:t>
      </w:r>
      <w:r>
        <w:rPr>
          <w:rFonts w:hint="eastAsia" w:ascii="Arial" w:hAnsi="Arial" w:cs="Arial"/>
          <w:color w:val="4F4E40"/>
          <w:sz w:val="21"/>
          <w:szCs w:val="21"/>
          <w:shd w:val="clear" w:color="auto" w:fill="FFFFFF"/>
        </w:rPr>
        <w:t>的</w:t>
      </w:r>
      <w:r>
        <w:rPr>
          <w:rFonts w:ascii="Arial" w:hAnsi="Arial" w:cs="Arial"/>
          <w:color w:val="4F4E40"/>
          <w:sz w:val="21"/>
          <w:szCs w:val="21"/>
          <w:shd w:val="clear" w:color="auto" w:fill="FFFFFF"/>
        </w:rPr>
        <w:t>健康发展、提高竞赛质量等方面提出了建议。</w:t>
      </w:r>
    </w:p>
    <w:p>
      <w:pPr>
        <w:pStyle w:val="4"/>
        <w:widowControl/>
        <w:shd w:val="clear" w:color="auto" w:fill="FFFFFF"/>
        <w:spacing w:before="0" w:beforeAutospacing="0" w:after="0" w:afterAutospacing="0" w:line="360" w:lineRule="auto"/>
        <w:rPr>
          <w:rFonts w:ascii="Arial" w:hAnsi="Arial" w:cs="Arial"/>
          <w:color w:val="4F4E40"/>
          <w:sz w:val="21"/>
          <w:szCs w:val="21"/>
          <w:shd w:val="clear" w:color="auto" w:fill="FFFFFF"/>
        </w:rPr>
      </w:pPr>
      <w:r>
        <w:drawing>
          <wp:inline distT="0" distB="0" distL="114300" distR="114300">
            <wp:extent cx="5715000" cy="3208020"/>
            <wp:effectExtent l="0" t="0" r="0" b="5080"/>
            <wp:docPr id="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5"/>
                    <pic:cNvPicPr>
                      <a:picLocks noChangeAspect="1"/>
                    </pic:cNvPicPr>
                  </pic:nvPicPr>
                  <pic:blipFill>
                    <a:blip r:embed="rId6"/>
                    <a:stretch>
                      <a:fillRect/>
                    </a:stretch>
                  </pic:blipFill>
                  <pic:spPr>
                    <a:xfrm>
                      <a:off x="0" y="0"/>
                      <a:ext cx="5715000" cy="3208020"/>
                    </a:xfrm>
                    <a:prstGeom prst="rect">
                      <a:avLst/>
                    </a:prstGeom>
                    <a:noFill/>
                    <a:ln>
                      <a:noFill/>
                    </a:ln>
                  </pic:spPr>
                </pic:pic>
              </a:graphicData>
            </a:graphic>
          </wp:inline>
        </w:drawing>
      </w:r>
    </w:p>
    <w:p>
      <w:pPr>
        <w:pStyle w:val="4"/>
        <w:widowControl/>
        <w:shd w:val="clear" w:color="auto" w:fill="FFFFFF"/>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t>谢金星教授介绍2023年建模竞赛基本情况现场实景图</w:t>
      </w:r>
    </w:p>
    <w:p>
      <w:pPr>
        <w:pStyle w:val="4"/>
        <w:widowControl/>
        <w:shd w:val="clear" w:color="auto" w:fill="FFFFFF"/>
        <w:spacing w:before="0" w:beforeAutospacing="0" w:after="0" w:afterAutospacing="0" w:line="360" w:lineRule="auto"/>
        <w:ind w:firstLine="420" w:firstLineChars="200"/>
        <w:rPr>
          <w:rFonts w:ascii="Arial" w:hAnsi="Arial" w:cs="Arial"/>
          <w:color w:val="000000"/>
          <w:sz w:val="21"/>
          <w:szCs w:val="21"/>
          <w:shd w:val="clear" w:color="auto" w:fill="FFFFFF"/>
        </w:rPr>
      </w:pPr>
      <w:r>
        <w:rPr>
          <w:rFonts w:ascii="Arial" w:hAnsi="Arial" w:cs="Arial"/>
          <w:color w:val="000000"/>
          <w:sz w:val="21"/>
          <w:szCs w:val="21"/>
          <w:shd w:val="clear" w:color="auto" w:fill="FFFFFF"/>
        </w:rPr>
        <w:t>随后，</w:t>
      </w:r>
      <w:r>
        <w:rPr>
          <w:rFonts w:hint="eastAsia" w:ascii="Arial" w:hAnsi="Arial" w:cs="Arial"/>
          <w:color w:val="000000"/>
          <w:sz w:val="21"/>
          <w:szCs w:val="21"/>
          <w:shd w:val="clear" w:color="auto" w:fill="FFFFFF"/>
        </w:rPr>
        <w:t>由五道题目的负责人</w:t>
      </w:r>
      <w:r>
        <w:rPr>
          <w:rFonts w:hint="eastAsia" w:ascii="Times New Roman" w:hAnsi="Times New Roman"/>
          <w:color w:val="000000"/>
          <w:sz w:val="21"/>
          <w:szCs w:val="21"/>
        </w:rPr>
        <w:t>吴孟达教授、</w:t>
      </w:r>
      <w:r>
        <w:rPr>
          <w:rFonts w:ascii="Times New Roman" w:hAnsi="Times New Roman"/>
          <w:color w:val="000000"/>
          <w:sz w:val="21"/>
          <w:szCs w:val="21"/>
        </w:rPr>
        <w:t>薛毅</w:t>
      </w:r>
      <w:r>
        <w:rPr>
          <w:rFonts w:hint="eastAsia" w:ascii="Times New Roman" w:hAnsi="Times New Roman"/>
          <w:color w:val="000000"/>
          <w:sz w:val="21"/>
          <w:szCs w:val="21"/>
        </w:rPr>
        <w:t>教授、王志勇副教授、毛紫阳副教授和韩中庚教授</w:t>
      </w:r>
      <w:r>
        <w:rPr>
          <w:rFonts w:hint="eastAsia" w:ascii="Arial" w:hAnsi="Arial" w:cs="Arial"/>
          <w:color w:val="000000"/>
          <w:sz w:val="21"/>
          <w:szCs w:val="21"/>
          <w:shd w:val="clear" w:color="auto" w:fill="FFFFFF"/>
        </w:rPr>
        <w:t>从</w:t>
      </w:r>
      <w:r>
        <w:rPr>
          <w:rFonts w:ascii="Arial" w:hAnsi="Arial" w:cs="Arial"/>
          <w:color w:val="000000"/>
          <w:sz w:val="21"/>
          <w:szCs w:val="21"/>
          <w:shd w:val="clear" w:color="auto" w:fill="FFFFFF"/>
        </w:rPr>
        <w:t>赛题的背景、解</w:t>
      </w:r>
      <w:r>
        <w:rPr>
          <w:rFonts w:hint="eastAsia" w:ascii="Arial" w:hAnsi="Arial" w:cs="Arial"/>
          <w:color w:val="000000"/>
          <w:sz w:val="21"/>
          <w:szCs w:val="21"/>
          <w:shd w:val="clear" w:color="auto" w:fill="FFFFFF"/>
        </w:rPr>
        <w:t>决</w:t>
      </w:r>
      <w:r>
        <w:rPr>
          <w:rFonts w:ascii="Arial" w:hAnsi="Arial" w:cs="Arial"/>
          <w:color w:val="000000"/>
          <w:sz w:val="21"/>
          <w:szCs w:val="21"/>
          <w:shd w:val="clear" w:color="auto" w:fill="FFFFFF"/>
        </w:rPr>
        <w:t>思路、具体模型、求解方法和存在问题等方面</w:t>
      </w:r>
      <w:r>
        <w:rPr>
          <w:rFonts w:hint="eastAsia" w:ascii="Arial" w:hAnsi="Arial" w:cs="Arial"/>
          <w:color w:val="000000"/>
          <w:sz w:val="21"/>
          <w:szCs w:val="21"/>
          <w:shd w:val="clear" w:color="auto" w:fill="FFFFFF"/>
        </w:rPr>
        <w:t>分别</w:t>
      </w:r>
      <w:r>
        <w:rPr>
          <w:rFonts w:ascii="Arial" w:hAnsi="Arial" w:cs="Arial"/>
          <w:color w:val="000000"/>
          <w:sz w:val="21"/>
          <w:szCs w:val="21"/>
          <w:shd w:val="clear" w:color="auto" w:fill="FFFFFF"/>
        </w:rPr>
        <w:t>对</w:t>
      </w:r>
      <w:r>
        <w:rPr>
          <w:rFonts w:hint="eastAsia" w:ascii="Arial" w:hAnsi="Arial" w:cs="Arial"/>
          <w:color w:val="000000"/>
          <w:sz w:val="21"/>
          <w:szCs w:val="21"/>
          <w:shd w:val="clear" w:color="auto" w:fill="FFFFFF"/>
        </w:rPr>
        <w:t>2</w:t>
      </w:r>
      <w:r>
        <w:rPr>
          <w:rFonts w:ascii="Arial" w:hAnsi="Arial" w:cs="Arial"/>
          <w:color w:val="000000"/>
          <w:sz w:val="21"/>
          <w:szCs w:val="21"/>
          <w:shd w:val="clear" w:color="auto" w:fill="FFFFFF"/>
        </w:rPr>
        <w:t>02</w:t>
      </w:r>
      <w:r>
        <w:rPr>
          <w:rFonts w:hint="eastAsia" w:ascii="Arial" w:hAnsi="Arial" w:cs="Arial"/>
          <w:color w:val="000000"/>
          <w:sz w:val="21"/>
          <w:szCs w:val="21"/>
          <w:shd w:val="clear" w:color="auto" w:fill="FFFFFF"/>
        </w:rPr>
        <w:t>3年全国大学生数学建模</w:t>
      </w:r>
      <w:r>
        <w:rPr>
          <w:rFonts w:ascii="Arial" w:hAnsi="Arial" w:cs="Arial"/>
          <w:color w:val="000000"/>
          <w:sz w:val="21"/>
          <w:szCs w:val="21"/>
          <w:shd w:val="clear" w:color="auto" w:fill="FFFFFF"/>
        </w:rPr>
        <w:t>竞赛的A</w:t>
      </w:r>
      <w:r>
        <w:rPr>
          <w:rFonts w:hint="eastAsia" w:ascii="Arial" w:hAnsi="Arial" w:cs="Arial"/>
          <w:color w:val="000000"/>
          <w:sz w:val="21"/>
          <w:szCs w:val="21"/>
          <w:shd w:val="clear" w:color="auto" w:fill="FFFFFF"/>
        </w:rPr>
        <w:t>、</w:t>
      </w:r>
      <w:r>
        <w:rPr>
          <w:rFonts w:ascii="Arial" w:hAnsi="Arial" w:cs="Arial"/>
          <w:color w:val="000000"/>
          <w:sz w:val="21"/>
          <w:szCs w:val="21"/>
          <w:shd w:val="clear" w:color="auto" w:fill="FFFFFF"/>
        </w:rPr>
        <w:t>B</w:t>
      </w:r>
      <w:r>
        <w:rPr>
          <w:rFonts w:hint="eastAsia" w:ascii="Arial" w:hAnsi="Arial" w:cs="Arial"/>
          <w:color w:val="000000"/>
          <w:sz w:val="21"/>
          <w:szCs w:val="21"/>
          <w:shd w:val="clear" w:color="auto" w:fill="FFFFFF"/>
        </w:rPr>
        <w:t>、</w:t>
      </w:r>
      <w:r>
        <w:rPr>
          <w:rFonts w:ascii="Arial" w:hAnsi="Arial" w:cs="Arial"/>
          <w:color w:val="000000"/>
          <w:sz w:val="21"/>
          <w:szCs w:val="21"/>
          <w:shd w:val="clear" w:color="auto" w:fill="FFFFFF"/>
        </w:rPr>
        <w:t>C</w:t>
      </w:r>
      <w:r>
        <w:rPr>
          <w:rFonts w:hint="eastAsia" w:ascii="Arial" w:hAnsi="Arial" w:cs="Arial"/>
          <w:color w:val="000000"/>
          <w:sz w:val="21"/>
          <w:szCs w:val="21"/>
          <w:shd w:val="clear" w:color="auto" w:fill="FFFFFF"/>
        </w:rPr>
        <w:t>、</w:t>
      </w:r>
      <w:r>
        <w:rPr>
          <w:rFonts w:ascii="Arial" w:hAnsi="Arial" w:cs="Arial"/>
          <w:color w:val="000000"/>
          <w:sz w:val="21"/>
          <w:szCs w:val="21"/>
          <w:shd w:val="clear" w:color="auto" w:fill="FFFFFF"/>
        </w:rPr>
        <w:t>D和E题作了详细</w:t>
      </w:r>
      <w:r>
        <w:rPr>
          <w:rFonts w:hint="eastAsia" w:ascii="Arial" w:hAnsi="Arial" w:cs="Arial"/>
          <w:color w:val="000000"/>
          <w:sz w:val="21"/>
          <w:szCs w:val="21"/>
          <w:shd w:val="clear" w:color="auto" w:fill="FFFFFF"/>
        </w:rPr>
        <w:t>解</w:t>
      </w:r>
      <w:r>
        <w:rPr>
          <w:rFonts w:ascii="Arial" w:hAnsi="Arial" w:cs="Arial"/>
          <w:color w:val="000000"/>
          <w:sz w:val="21"/>
          <w:szCs w:val="21"/>
          <w:shd w:val="clear" w:color="auto" w:fill="FFFFFF"/>
        </w:rPr>
        <w:t>析</w:t>
      </w:r>
      <w:r>
        <w:rPr>
          <w:rFonts w:hint="eastAsia" w:ascii="Arial" w:hAnsi="Arial" w:cs="Arial"/>
          <w:color w:val="000000"/>
          <w:sz w:val="21"/>
          <w:szCs w:val="21"/>
          <w:shd w:val="clear" w:color="auto" w:fill="FFFFFF"/>
        </w:rPr>
        <w:t>，</w:t>
      </w:r>
      <w:r>
        <w:rPr>
          <w:rFonts w:ascii="Arial" w:hAnsi="Arial" w:cs="Arial"/>
          <w:color w:val="000000"/>
          <w:sz w:val="21"/>
          <w:szCs w:val="21"/>
          <w:shd w:val="clear" w:color="auto" w:fill="FFFFFF"/>
        </w:rPr>
        <w:t>同时结合赛题从建模思想、建模能力、建模素质等方面进行了点评</w:t>
      </w:r>
      <w:r>
        <w:rPr>
          <w:rFonts w:hint="eastAsia" w:ascii="Arial" w:hAnsi="Arial" w:cs="Arial"/>
          <w:color w:val="000000"/>
          <w:sz w:val="21"/>
          <w:szCs w:val="21"/>
          <w:shd w:val="clear" w:color="auto" w:fill="FFFFFF"/>
        </w:rPr>
        <w:t>。期间，陈叔平教授作为D题的命题人</w:t>
      </w:r>
      <w:r>
        <w:rPr>
          <w:rFonts w:hint="eastAsia" w:ascii="Times New Roman" w:hAnsi="Times New Roman"/>
          <w:color w:val="000000"/>
          <w:sz w:val="21"/>
          <w:szCs w:val="21"/>
        </w:rPr>
        <w:t>简要介绍了命题背景和题目背后的故事。专家们的报告不仅让</w:t>
      </w:r>
      <w:r>
        <w:rPr>
          <w:rFonts w:hint="eastAsia" w:ascii="Arial" w:hAnsi="Arial" w:cs="Arial"/>
          <w:color w:val="000000"/>
          <w:sz w:val="21"/>
          <w:szCs w:val="21"/>
          <w:shd w:val="clear" w:color="auto" w:fill="FFFFFF"/>
        </w:rPr>
        <w:t>参会老师们理解了如何解决竞赛问题，也领悟到了从更高的视野来看待数学建模，从而提升了数学建模的意识和能力</w:t>
      </w:r>
      <w:r>
        <w:rPr>
          <w:rFonts w:ascii="Arial" w:hAnsi="Arial" w:cs="Arial"/>
          <w:color w:val="000000"/>
          <w:sz w:val="21"/>
          <w:szCs w:val="21"/>
          <w:shd w:val="clear" w:color="auto" w:fill="FFFFFF"/>
        </w:rPr>
        <w:t>。</w:t>
      </w:r>
    </w:p>
    <w:tbl>
      <w:tblPr>
        <w:tblStyle w:val="5"/>
        <w:tblW w:w="0" w:type="auto"/>
        <w:tblInd w:w="0" w:type="dxa"/>
        <w:tblLayout w:type="autofit"/>
        <w:tblCellMar>
          <w:top w:w="0" w:type="dxa"/>
          <w:left w:w="108" w:type="dxa"/>
          <w:bottom w:w="0" w:type="dxa"/>
          <w:right w:w="108" w:type="dxa"/>
        </w:tblCellMar>
      </w:tblPr>
      <w:tblGrid>
        <w:gridCol w:w="4647"/>
        <w:gridCol w:w="4639"/>
      </w:tblGrid>
      <w:tr>
        <w:tblPrEx>
          <w:tblCellMar>
            <w:top w:w="0" w:type="dxa"/>
            <w:left w:w="108" w:type="dxa"/>
            <w:bottom w:w="0" w:type="dxa"/>
            <w:right w:w="108" w:type="dxa"/>
          </w:tblCellMar>
        </w:tblPrEx>
        <w:trPr>
          <w:trHeight w:val="2603" w:hRule="atLeast"/>
        </w:trPr>
        <w:tc>
          <w:tcPr>
            <w:tcW w:w="4643" w:type="dxa"/>
            <w:noWrap w:val="0"/>
            <w:vAlign w:val="top"/>
          </w:tcPr>
          <w:p>
            <w:pPr>
              <w:pStyle w:val="4"/>
              <w:widowControl/>
              <w:spacing w:before="0" w:beforeAutospacing="0" w:after="0" w:afterAutospacing="0" w:line="360" w:lineRule="auto"/>
              <w:jc w:val="both"/>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834640" cy="1591310"/>
                  <wp:effectExtent l="0" t="0" r="10160" b="8890"/>
                  <wp:docPr id="4" name="图片 5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6" descr="图片1"/>
                          <pic:cNvPicPr>
                            <a:picLocks noChangeAspect="1"/>
                          </pic:cNvPicPr>
                        </pic:nvPicPr>
                        <pic:blipFill>
                          <a:blip r:embed="rId7"/>
                          <a:stretch>
                            <a:fillRect/>
                          </a:stretch>
                        </pic:blipFill>
                        <pic:spPr>
                          <a:xfrm>
                            <a:off x="0" y="0"/>
                            <a:ext cx="2834640" cy="1591310"/>
                          </a:xfrm>
                          <a:prstGeom prst="rect">
                            <a:avLst/>
                          </a:prstGeom>
                          <a:noFill/>
                          <a:ln>
                            <a:noFill/>
                          </a:ln>
                        </pic:spPr>
                      </pic:pic>
                    </a:graphicData>
                  </a:graphic>
                </wp:inline>
              </w:drawing>
            </w:r>
          </w:p>
        </w:tc>
        <w:tc>
          <w:tcPr>
            <w:tcW w:w="4643" w:type="dxa"/>
            <w:noWrap w:val="0"/>
            <w:vAlign w:val="top"/>
          </w:tcPr>
          <w:p>
            <w:pPr>
              <w:pStyle w:val="4"/>
              <w:widowControl/>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782570" cy="1591945"/>
                  <wp:effectExtent l="0" t="0" r="11430" b="8255"/>
                  <wp:docPr id="5" name="图片 5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4" descr="图片2"/>
                          <pic:cNvPicPr>
                            <a:picLocks noChangeAspect="1"/>
                          </pic:cNvPicPr>
                        </pic:nvPicPr>
                        <pic:blipFill>
                          <a:blip r:embed="rId8"/>
                          <a:stretch>
                            <a:fillRect/>
                          </a:stretch>
                        </pic:blipFill>
                        <pic:spPr>
                          <a:xfrm>
                            <a:off x="0" y="0"/>
                            <a:ext cx="2782570" cy="1591945"/>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643" w:type="dxa"/>
            <w:noWrap w:val="0"/>
            <w:vAlign w:val="top"/>
          </w:tcPr>
          <w:p>
            <w:pPr>
              <w:pStyle w:val="4"/>
              <w:widowControl/>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829560" cy="1591310"/>
                  <wp:effectExtent l="0" t="0" r="2540" b="8890"/>
                  <wp:docPr id="6" name="图片 4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8" descr="图片3"/>
                          <pic:cNvPicPr>
                            <a:picLocks noChangeAspect="1"/>
                          </pic:cNvPicPr>
                        </pic:nvPicPr>
                        <pic:blipFill>
                          <a:blip r:embed="rId9"/>
                          <a:stretch>
                            <a:fillRect/>
                          </a:stretch>
                        </pic:blipFill>
                        <pic:spPr>
                          <a:xfrm>
                            <a:off x="0" y="0"/>
                            <a:ext cx="2829560" cy="1591310"/>
                          </a:xfrm>
                          <a:prstGeom prst="rect">
                            <a:avLst/>
                          </a:prstGeom>
                          <a:noFill/>
                          <a:ln>
                            <a:noFill/>
                          </a:ln>
                        </pic:spPr>
                      </pic:pic>
                    </a:graphicData>
                  </a:graphic>
                </wp:inline>
              </w:drawing>
            </w:r>
          </w:p>
        </w:tc>
        <w:tc>
          <w:tcPr>
            <w:tcW w:w="4643" w:type="dxa"/>
            <w:noWrap w:val="0"/>
            <w:vAlign w:val="top"/>
          </w:tcPr>
          <w:p>
            <w:pPr>
              <w:pStyle w:val="4"/>
              <w:widowControl/>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829560" cy="1591310"/>
                  <wp:effectExtent l="0" t="0" r="2540" b="8890"/>
                  <wp:docPr id="7" name="图片 4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9" descr="图片4"/>
                          <pic:cNvPicPr>
                            <a:picLocks noChangeAspect="1"/>
                          </pic:cNvPicPr>
                        </pic:nvPicPr>
                        <pic:blipFill>
                          <a:blip r:embed="rId10"/>
                          <a:stretch>
                            <a:fillRect/>
                          </a:stretch>
                        </pic:blipFill>
                        <pic:spPr>
                          <a:xfrm>
                            <a:off x="0" y="0"/>
                            <a:ext cx="2829560" cy="159131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643" w:type="dxa"/>
            <w:noWrap w:val="0"/>
            <w:vAlign w:val="top"/>
          </w:tcPr>
          <w:p>
            <w:pPr>
              <w:pStyle w:val="4"/>
              <w:widowControl/>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834640" cy="1591310"/>
                  <wp:effectExtent l="0" t="0" r="10160" b="8890"/>
                  <wp:docPr id="8" name="图片 5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0" descr="图片5"/>
                          <pic:cNvPicPr>
                            <a:picLocks noChangeAspect="1"/>
                          </pic:cNvPicPr>
                        </pic:nvPicPr>
                        <pic:blipFill>
                          <a:blip r:embed="rId11"/>
                          <a:stretch>
                            <a:fillRect/>
                          </a:stretch>
                        </pic:blipFill>
                        <pic:spPr>
                          <a:xfrm>
                            <a:off x="0" y="0"/>
                            <a:ext cx="2834640" cy="1591310"/>
                          </a:xfrm>
                          <a:prstGeom prst="rect">
                            <a:avLst/>
                          </a:prstGeom>
                          <a:noFill/>
                          <a:ln>
                            <a:noFill/>
                          </a:ln>
                        </pic:spPr>
                      </pic:pic>
                    </a:graphicData>
                  </a:graphic>
                </wp:inline>
              </w:drawing>
            </w:r>
          </w:p>
        </w:tc>
        <w:tc>
          <w:tcPr>
            <w:tcW w:w="4643" w:type="dxa"/>
            <w:noWrap w:val="0"/>
            <w:vAlign w:val="top"/>
          </w:tcPr>
          <w:p>
            <w:pPr>
              <w:pStyle w:val="4"/>
              <w:widowControl/>
              <w:spacing w:before="0" w:beforeAutospacing="0" w:after="0" w:afterAutospacing="0" w:line="360" w:lineRule="auto"/>
              <w:jc w:val="center"/>
              <w:rPr>
                <w:rFonts w:hint="eastAsia"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drawing>
                <wp:inline distT="0" distB="0" distL="114300" distR="114300">
                  <wp:extent cx="2829560" cy="1591310"/>
                  <wp:effectExtent l="0" t="0" r="2540" b="8890"/>
                  <wp:docPr id="9" name="图片 5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1" descr="图片6"/>
                          <pic:cNvPicPr>
                            <a:picLocks noChangeAspect="1"/>
                          </pic:cNvPicPr>
                        </pic:nvPicPr>
                        <pic:blipFill>
                          <a:blip r:embed="rId12"/>
                          <a:stretch>
                            <a:fillRect/>
                          </a:stretch>
                        </pic:blipFill>
                        <pic:spPr>
                          <a:xfrm>
                            <a:off x="0" y="0"/>
                            <a:ext cx="2829560" cy="1591310"/>
                          </a:xfrm>
                          <a:prstGeom prst="rect">
                            <a:avLst/>
                          </a:prstGeom>
                          <a:noFill/>
                          <a:ln>
                            <a:noFill/>
                          </a:ln>
                        </pic:spPr>
                      </pic:pic>
                    </a:graphicData>
                  </a:graphic>
                </wp:inline>
              </w:drawing>
            </w:r>
          </w:p>
        </w:tc>
      </w:tr>
    </w:tbl>
    <w:p>
      <w:pPr>
        <w:pStyle w:val="4"/>
        <w:widowControl/>
        <w:shd w:val="clear" w:color="auto" w:fill="FFFFFF"/>
        <w:spacing w:before="0" w:beforeAutospacing="0" w:after="0" w:afterAutospacing="0" w:line="360" w:lineRule="auto"/>
        <w:jc w:val="center"/>
        <w:rPr>
          <w:rFonts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t>专家报告现场实景图</w:t>
      </w:r>
    </w:p>
    <w:p>
      <w:pPr>
        <w:pStyle w:val="4"/>
        <w:widowControl/>
        <w:shd w:val="clear" w:color="auto" w:fill="FFFFFF"/>
        <w:spacing w:before="0" w:beforeAutospacing="0" w:after="0" w:afterAutospacing="0" w:line="360" w:lineRule="auto"/>
        <w:jc w:val="center"/>
        <w:rPr>
          <w:rFonts w:hint="eastAsia" w:ascii="Arial" w:hAnsi="Arial" w:cs="Arial"/>
          <w:color w:val="4F4E40"/>
          <w:sz w:val="21"/>
          <w:szCs w:val="21"/>
          <w:shd w:val="clear" w:color="auto" w:fill="FFFFFF"/>
        </w:rPr>
      </w:pPr>
      <w:r>
        <w:rPr>
          <w:rFonts w:hint="eastAsia" w:ascii="仿宋" w:hAnsi="仿宋" w:eastAsia="仿宋" w:cs="仿宋"/>
          <w:color w:val="4F4E40"/>
          <w:sz w:val="21"/>
          <w:szCs w:val="21"/>
          <w:shd w:val="clear" w:color="auto" w:fill="FFFFFF"/>
        </w:rPr>
        <w:t>（上图：吴孟达、薛毅；中间图：王志勇、毛紫阳；下图：陈叔平、韩中庚）</w:t>
      </w:r>
    </w:p>
    <w:p>
      <w:pPr>
        <w:pStyle w:val="4"/>
        <w:widowControl/>
        <w:shd w:val="clear" w:color="auto" w:fill="FFFFFF"/>
        <w:spacing w:before="0" w:beforeAutospacing="0" w:after="0" w:afterAutospacing="0" w:line="360" w:lineRule="auto"/>
        <w:ind w:firstLine="420" w:firstLineChars="200"/>
        <w:rPr>
          <w:rFonts w:hint="eastAsia" w:ascii="Arial" w:hAnsi="Arial" w:cs="Arial"/>
          <w:color w:val="4F4E40"/>
          <w:sz w:val="21"/>
          <w:szCs w:val="21"/>
          <w:shd w:val="clear" w:color="auto" w:fill="FFFFFF"/>
        </w:rPr>
      </w:pPr>
      <w:r>
        <w:rPr>
          <w:rFonts w:ascii="Arial" w:hAnsi="Arial" w:cs="Arial"/>
          <w:color w:val="4F4E40"/>
          <w:sz w:val="21"/>
          <w:szCs w:val="21"/>
          <w:shd w:val="clear" w:color="auto" w:fill="FFFFFF"/>
        </w:rPr>
        <w:t>最后，</w:t>
      </w:r>
      <w:r>
        <w:rPr>
          <w:rFonts w:hint="eastAsia" w:ascii="Arial" w:hAnsi="Arial" w:cs="Arial"/>
          <w:color w:val="4F4E40"/>
          <w:sz w:val="21"/>
          <w:szCs w:val="21"/>
          <w:shd w:val="clear" w:color="auto" w:fill="FFFFFF"/>
        </w:rPr>
        <w:t>学会数学模型专业委员会主任鲁习文教授主持了与会代表的座谈与经验交流会。</w:t>
      </w:r>
      <w:r>
        <w:rPr>
          <w:rFonts w:ascii="Arial" w:hAnsi="Arial" w:cs="Arial"/>
          <w:color w:val="4F4E40"/>
          <w:sz w:val="21"/>
          <w:szCs w:val="21"/>
          <w:shd w:val="clear" w:color="auto" w:fill="FFFFFF"/>
        </w:rPr>
        <w:t>全国组委会</w:t>
      </w:r>
      <w:r>
        <w:rPr>
          <w:rFonts w:hint="eastAsia" w:ascii="Arial" w:hAnsi="Arial" w:cs="Arial"/>
          <w:color w:val="4F4E40"/>
          <w:sz w:val="21"/>
          <w:szCs w:val="21"/>
          <w:shd w:val="clear" w:color="auto" w:fill="FFFFFF"/>
        </w:rPr>
        <w:t>和</w:t>
      </w:r>
      <w:r>
        <w:rPr>
          <w:rFonts w:ascii="Arial" w:hAnsi="Arial" w:cs="Arial"/>
          <w:color w:val="4F4E40"/>
          <w:sz w:val="21"/>
          <w:szCs w:val="21"/>
          <w:shd w:val="clear" w:color="auto" w:fill="FFFFFF"/>
        </w:rPr>
        <w:t>专家组的</w:t>
      </w:r>
      <w:r>
        <w:rPr>
          <w:rFonts w:hint="eastAsia" w:ascii="Arial" w:hAnsi="Arial" w:cs="Arial"/>
          <w:color w:val="4F4E40"/>
          <w:sz w:val="21"/>
          <w:szCs w:val="21"/>
          <w:shd w:val="clear" w:color="auto" w:fill="FFFFFF"/>
        </w:rPr>
        <w:t>专家与参会老</w:t>
      </w:r>
      <w:r>
        <w:rPr>
          <w:rFonts w:ascii="Arial" w:hAnsi="Arial" w:cs="Arial"/>
          <w:color w:val="4F4E40"/>
          <w:sz w:val="21"/>
          <w:szCs w:val="21"/>
          <w:shd w:val="clear" w:color="auto" w:fill="FFFFFF"/>
        </w:rPr>
        <w:t>师</w:t>
      </w:r>
      <w:r>
        <w:rPr>
          <w:rFonts w:hint="eastAsia" w:ascii="Arial" w:hAnsi="Arial" w:cs="Arial"/>
          <w:color w:val="4F4E40"/>
          <w:sz w:val="21"/>
          <w:szCs w:val="21"/>
          <w:shd w:val="clear" w:color="auto" w:fill="FFFFFF"/>
        </w:rPr>
        <w:t>们</w:t>
      </w:r>
      <w:r>
        <w:rPr>
          <w:rFonts w:ascii="Arial" w:hAnsi="Arial" w:cs="Arial"/>
          <w:color w:val="4F4E40"/>
          <w:sz w:val="21"/>
          <w:szCs w:val="21"/>
          <w:shd w:val="clear" w:color="auto" w:fill="FFFFFF"/>
        </w:rPr>
        <w:t>就大家所关心的问题进行了面对面</w:t>
      </w:r>
      <w:r>
        <w:rPr>
          <w:rFonts w:hint="eastAsia" w:ascii="Arial" w:hAnsi="Arial" w:cs="Arial"/>
          <w:color w:val="4F4E40"/>
          <w:sz w:val="21"/>
          <w:szCs w:val="21"/>
          <w:shd w:val="clear" w:color="auto" w:fill="FFFFFF"/>
        </w:rPr>
        <w:t>的</w:t>
      </w:r>
      <w:r>
        <w:rPr>
          <w:rFonts w:ascii="Arial" w:hAnsi="Arial" w:cs="Arial"/>
          <w:color w:val="4F4E40"/>
          <w:sz w:val="21"/>
          <w:szCs w:val="21"/>
          <w:shd w:val="clear" w:color="auto" w:fill="FFFFFF"/>
        </w:rPr>
        <w:t>交流，</w:t>
      </w:r>
      <w:r>
        <w:rPr>
          <w:rFonts w:hint="eastAsia" w:ascii="Arial" w:hAnsi="Arial" w:cs="Arial"/>
          <w:color w:val="4F4E40"/>
          <w:sz w:val="21"/>
          <w:szCs w:val="21"/>
          <w:shd w:val="clear" w:color="auto" w:fill="FFFFFF"/>
        </w:rPr>
        <w:t>大家</w:t>
      </w:r>
      <w:r>
        <w:rPr>
          <w:rFonts w:ascii="Arial" w:hAnsi="Arial" w:cs="Arial"/>
          <w:color w:val="4F4E40"/>
          <w:sz w:val="21"/>
          <w:szCs w:val="21"/>
          <w:shd w:val="clear" w:color="auto" w:fill="FFFFFF"/>
        </w:rPr>
        <w:t>共同探讨</w:t>
      </w:r>
      <w:r>
        <w:rPr>
          <w:rFonts w:hint="eastAsia" w:ascii="Arial" w:hAnsi="Arial" w:cs="Arial"/>
          <w:color w:val="4F4E40"/>
          <w:sz w:val="21"/>
          <w:szCs w:val="21"/>
          <w:shd w:val="clear" w:color="auto" w:fill="FFFFFF"/>
        </w:rPr>
        <w:t>了</w:t>
      </w:r>
      <w:r>
        <w:rPr>
          <w:rFonts w:ascii="Arial" w:hAnsi="Arial" w:cs="Arial"/>
          <w:color w:val="4F4E40"/>
          <w:sz w:val="21"/>
          <w:szCs w:val="21"/>
          <w:shd w:val="clear" w:color="auto" w:fill="FFFFFF"/>
        </w:rPr>
        <w:t>数学建模教学和竞赛等活动可持续开展</w:t>
      </w:r>
      <w:r>
        <w:rPr>
          <w:rFonts w:hint="eastAsia" w:ascii="Arial" w:hAnsi="Arial" w:cs="Arial"/>
          <w:color w:val="4F4E40"/>
          <w:sz w:val="21"/>
          <w:szCs w:val="21"/>
          <w:shd w:val="clear" w:color="auto" w:fill="FFFFFF"/>
        </w:rPr>
        <w:t>之良策</w:t>
      </w:r>
      <w:r>
        <w:rPr>
          <w:rFonts w:ascii="Arial" w:hAnsi="Arial" w:cs="Arial"/>
          <w:color w:val="4F4E40"/>
          <w:sz w:val="21"/>
          <w:szCs w:val="21"/>
          <w:shd w:val="clear" w:color="auto" w:fill="FFFFFF"/>
        </w:rPr>
        <w:t>。</w:t>
      </w:r>
      <w:r>
        <w:rPr>
          <w:rFonts w:hint="eastAsia" w:ascii="Arial" w:hAnsi="Arial" w:cs="Arial"/>
          <w:color w:val="4F4E40"/>
          <w:sz w:val="21"/>
          <w:szCs w:val="21"/>
          <w:shd w:val="clear" w:color="auto" w:fill="FFFFFF"/>
        </w:rPr>
        <w:t>与会老师一致认为，会议为推动全国高校数学建模活动的深入开展和健康发展提供了良好的交流平台。</w:t>
      </w:r>
    </w:p>
    <w:p>
      <w:pPr>
        <w:pStyle w:val="4"/>
        <w:widowControl/>
        <w:shd w:val="clear" w:color="auto" w:fill="FFFFFF"/>
        <w:spacing w:before="0" w:beforeAutospacing="0" w:after="0" w:afterAutospacing="0" w:line="360" w:lineRule="auto"/>
        <w:rPr>
          <w:rFonts w:hint="eastAsia" w:ascii="Arial" w:hAnsi="Arial" w:cs="Arial"/>
          <w:color w:val="4F4E40"/>
          <w:sz w:val="21"/>
          <w:szCs w:val="21"/>
          <w:shd w:val="clear" w:color="auto" w:fill="FFFFFF"/>
        </w:rPr>
      </w:pPr>
      <w:r>
        <w:rPr>
          <w:rFonts w:ascii="Arial" w:hAnsi="Arial" w:cs="Arial"/>
          <w:color w:val="4F4E40"/>
          <w:sz w:val="21"/>
          <w:szCs w:val="21"/>
          <w:shd w:val="clear" w:color="auto" w:fill="FFFFFF"/>
        </w:rPr>
        <w:drawing>
          <wp:inline distT="0" distB="0" distL="114300" distR="114300">
            <wp:extent cx="5715000" cy="3208020"/>
            <wp:effectExtent l="0" t="0" r="0" b="5080"/>
            <wp:docPr id="10" name="图片 35" descr="IMG_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5" descr="IMG_4262"/>
                    <pic:cNvPicPr>
                      <a:picLocks noChangeAspect="1"/>
                    </pic:cNvPicPr>
                  </pic:nvPicPr>
                  <pic:blipFill>
                    <a:blip r:embed="rId13"/>
                    <a:stretch>
                      <a:fillRect/>
                    </a:stretch>
                  </pic:blipFill>
                  <pic:spPr>
                    <a:xfrm>
                      <a:off x="0" y="0"/>
                      <a:ext cx="5715000" cy="3208020"/>
                    </a:xfrm>
                    <a:prstGeom prst="rect">
                      <a:avLst/>
                    </a:prstGeom>
                    <a:noFill/>
                    <a:ln>
                      <a:noFill/>
                    </a:ln>
                  </pic:spPr>
                </pic:pic>
              </a:graphicData>
            </a:graphic>
          </wp:inline>
        </w:drawing>
      </w:r>
    </w:p>
    <w:p>
      <w:pPr>
        <w:pStyle w:val="4"/>
        <w:widowControl/>
        <w:shd w:val="clear" w:color="auto" w:fill="FFFFFF"/>
        <w:spacing w:before="0" w:beforeAutospacing="0" w:after="0" w:afterAutospacing="0" w:line="360" w:lineRule="auto"/>
        <w:jc w:val="center"/>
        <w:rPr>
          <w:rFonts w:ascii="仿宋" w:hAnsi="仿宋" w:eastAsia="仿宋" w:cs="仿宋"/>
          <w:color w:val="4F4E40"/>
          <w:sz w:val="21"/>
          <w:szCs w:val="21"/>
          <w:shd w:val="clear" w:color="auto" w:fill="FFFFFF"/>
        </w:rPr>
      </w:pPr>
      <w:r>
        <w:rPr>
          <w:rFonts w:hint="eastAsia" w:ascii="仿宋" w:hAnsi="仿宋" w:eastAsia="仿宋" w:cs="仿宋"/>
          <w:color w:val="4F4E40"/>
          <w:sz w:val="21"/>
          <w:szCs w:val="21"/>
          <w:shd w:val="clear" w:color="auto" w:fill="FFFFFF"/>
        </w:rPr>
        <w:t>交流环节现场实景图</w:t>
      </w:r>
    </w:p>
    <w:p>
      <w:pPr>
        <w:pStyle w:val="4"/>
        <w:widowControl/>
        <w:shd w:val="clear" w:color="auto" w:fill="FFFFFF"/>
        <w:spacing w:before="0" w:beforeAutospacing="0" w:after="0" w:afterAutospacing="0" w:line="360" w:lineRule="auto"/>
        <w:ind w:firstLine="420" w:firstLineChars="200"/>
        <w:rPr>
          <w:sz w:val="21"/>
          <w:szCs w:val="21"/>
        </w:rPr>
      </w:pPr>
      <w:r>
        <w:rPr>
          <w:rFonts w:hint="eastAsia" w:ascii="Arial" w:hAnsi="Arial" w:cs="Arial"/>
          <w:color w:val="4F4E40"/>
          <w:sz w:val="21"/>
          <w:szCs w:val="21"/>
          <w:shd w:val="clear" w:color="auto" w:fill="FFFFFF"/>
        </w:rPr>
        <w:t>会前，郑州轻工业大学数学与信息科学学院的领导和</w:t>
      </w:r>
      <w:r>
        <w:rPr>
          <w:rFonts w:hint="eastAsia" w:ascii="Arial" w:hAnsi="Arial" w:cs="Arial"/>
          <w:sz w:val="21"/>
          <w:szCs w:val="21"/>
          <w:shd w:val="clear" w:color="auto" w:fill="FFFFFF"/>
        </w:rPr>
        <w:t>数学建模教师团队做了大量卓识有效的工作。会议期间，多位老师和</w:t>
      </w:r>
      <w:r>
        <w:rPr>
          <w:rFonts w:ascii="Arial" w:hAnsi="Arial" w:cs="Arial"/>
          <w:color w:val="4F4E40"/>
          <w:sz w:val="21"/>
          <w:szCs w:val="21"/>
          <w:shd w:val="clear" w:color="auto" w:fill="FFFFFF"/>
        </w:rPr>
        <w:t>1</w:t>
      </w:r>
      <w:r>
        <w:rPr>
          <w:rFonts w:hint="eastAsia" w:ascii="Arial" w:hAnsi="Arial" w:cs="Arial"/>
          <w:color w:val="4F4E40"/>
          <w:sz w:val="21"/>
          <w:szCs w:val="21"/>
          <w:shd w:val="clear" w:color="auto" w:fill="FFFFFF"/>
        </w:rPr>
        <w:t>8</w:t>
      </w:r>
      <w:r>
        <w:rPr>
          <w:rFonts w:ascii="Arial" w:hAnsi="Arial" w:cs="Arial"/>
          <w:color w:val="4F4E40"/>
          <w:sz w:val="21"/>
          <w:szCs w:val="21"/>
          <w:shd w:val="clear" w:color="auto" w:fill="FFFFFF"/>
        </w:rPr>
        <w:t>位志愿者同学</w:t>
      </w:r>
      <w:r>
        <w:rPr>
          <w:rFonts w:hint="eastAsia" w:ascii="Arial" w:hAnsi="Arial" w:cs="Arial"/>
          <w:color w:val="4F4E40"/>
          <w:sz w:val="21"/>
          <w:szCs w:val="21"/>
          <w:shd w:val="clear" w:color="auto" w:fill="FFFFFF"/>
        </w:rPr>
        <w:t>为大会的顺利举行提供了高质量的后勤保障和周到的服务，他们的辛勤付出得到了与会老师们的高度赞誉。</w:t>
      </w:r>
    </w:p>
    <w:p>
      <w:pPr>
        <w:pStyle w:val="4"/>
        <w:widowControl/>
        <w:shd w:val="clear" w:color="auto" w:fill="FFFFFF"/>
        <w:spacing w:before="0" w:beforeAutospacing="0" w:after="0" w:afterAutospacing="0" w:line="360" w:lineRule="auto"/>
        <w:rPr>
          <w:sz w:val="21"/>
          <w:szCs w:val="21"/>
        </w:rPr>
      </w:pPr>
      <w:r>
        <w:rPr>
          <w:sz w:val="21"/>
          <w:szCs w:val="21"/>
        </w:rPr>
        <w:drawing>
          <wp:inline distT="0" distB="0" distL="114300" distR="114300">
            <wp:extent cx="5690235" cy="3200400"/>
            <wp:effectExtent l="0" t="0" r="12065" b="0"/>
            <wp:docPr id="11" name="图片 9" descr="微信图片_2023112715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微信图片_20231127152257"/>
                    <pic:cNvPicPr>
                      <a:picLocks noChangeAspect="1"/>
                    </pic:cNvPicPr>
                  </pic:nvPicPr>
                  <pic:blipFill>
                    <a:blip r:embed="rId14"/>
                    <a:stretch>
                      <a:fillRect/>
                    </a:stretch>
                  </pic:blipFill>
                  <pic:spPr>
                    <a:xfrm>
                      <a:off x="0" y="0"/>
                      <a:ext cx="5690235" cy="3200400"/>
                    </a:xfrm>
                    <a:prstGeom prst="rect">
                      <a:avLst/>
                    </a:prstGeom>
                    <a:noFill/>
                    <a:ln>
                      <a:noFill/>
                    </a:ln>
                  </pic:spPr>
                </pic:pic>
              </a:graphicData>
            </a:graphic>
          </wp:inline>
        </w:drawing>
      </w:r>
    </w:p>
    <w:p>
      <w:pPr>
        <w:pStyle w:val="4"/>
        <w:widowControl/>
        <w:shd w:val="clear" w:color="auto" w:fill="FFFFFF"/>
        <w:spacing w:before="0" w:beforeAutospacing="0" w:after="0" w:afterAutospacing="0" w:line="360" w:lineRule="auto"/>
        <w:jc w:val="center"/>
        <w:rPr>
          <w:rFonts w:hint="eastAsia" w:ascii="仿宋" w:hAnsi="仿宋" w:eastAsia="仿宋" w:cs="仿宋"/>
          <w:sz w:val="21"/>
          <w:szCs w:val="21"/>
        </w:rPr>
      </w:pPr>
      <w:r>
        <w:rPr>
          <w:rFonts w:hint="eastAsia" w:ascii="仿宋" w:hAnsi="仿宋" w:eastAsia="仿宋" w:cs="仿宋"/>
          <w:sz w:val="21"/>
          <w:szCs w:val="21"/>
        </w:rPr>
        <w:t>郑州轻工业大学的志愿者服务团队合影</w:t>
      </w:r>
    </w:p>
    <w:sectPr>
      <w:pgSz w:w="11906" w:h="16838"/>
      <w:pgMar w:top="1418" w:right="1418" w:bottom="1134" w:left="141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g4MTQyYzc2YTIyZjhhYTMzOTBhYjU3NGRkODQxOGMifQ=="/>
  </w:docVars>
  <w:rsids>
    <w:rsidRoot w:val="001D437C"/>
    <w:rsid w:val="00050CDF"/>
    <w:rsid w:val="000C4E17"/>
    <w:rsid w:val="000D3A27"/>
    <w:rsid w:val="0019000B"/>
    <w:rsid w:val="001A765B"/>
    <w:rsid w:val="001B6FFE"/>
    <w:rsid w:val="001C27EA"/>
    <w:rsid w:val="001D3918"/>
    <w:rsid w:val="001D437C"/>
    <w:rsid w:val="001E0EBB"/>
    <w:rsid w:val="00227475"/>
    <w:rsid w:val="0025706D"/>
    <w:rsid w:val="002D3053"/>
    <w:rsid w:val="002D6C90"/>
    <w:rsid w:val="00374EE0"/>
    <w:rsid w:val="004414E4"/>
    <w:rsid w:val="00497C38"/>
    <w:rsid w:val="004B390D"/>
    <w:rsid w:val="004D61B7"/>
    <w:rsid w:val="005274BC"/>
    <w:rsid w:val="00531FD2"/>
    <w:rsid w:val="0054259B"/>
    <w:rsid w:val="0055398C"/>
    <w:rsid w:val="005D4F36"/>
    <w:rsid w:val="00685788"/>
    <w:rsid w:val="006A61DE"/>
    <w:rsid w:val="00727B4B"/>
    <w:rsid w:val="00751667"/>
    <w:rsid w:val="007A42A6"/>
    <w:rsid w:val="007B3E22"/>
    <w:rsid w:val="007D477F"/>
    <w:rsid w:val="00815EF7"/>
    <w:rsid w:val="008338BF"/>
    <w:rsid w:val="00892B12"/>
    <w:rsid w:val="0096692B"/>
    <w:rsid w:val="0097288B"/>
    <w:rsid w:val="0098565C"/>
    <w:rsid w:val="00991448"/>
    <w:rsid w:val="00993CEC"/>
    <w:rsid w:val="009B291B"/>
    <w:rsid w:val="00A2361A"/>
    <w:rsid w:val="00B13E54"/>
    <w:rsid w:val="00B22E9F"/>
    <w:rsid w:val="00B343E1"/>
    <w:rsid w:val="00B34B78"/>
    <w:rsid w:val="00BA1DD4"/>
    <w:rsid w:val="00C07907"/>
    <w:rsid w:val="00C50EBD"/>
    <w:rsid w:val="00C62C39"/>
    <w:rsid w:val="00CE06FC"/>
    <w:rsid w:val="00CE5020"/>
    <w:rsid w:val="00DA1035"/>
    <w:rsid w:val="00DC106B"/>
    <w:rsid w:val="00DF385A"/>
    <w:rsid w:val="00E04D68"/>
    <w:rsid w:val="00E518F9"/>
    <w:rsid w:val="00EA43AD"/>
    <w:rsid w:val="00EB4780"/>
    <w:rsid w:val="00EC6BB4"/>
    <w:rsid w:val="00ED76C9"/>
    <w:rsid w:val="00F45C38"/>
    <w:rsid w:val="00F5150C"/>
    <w:rsid w:val="00F86F2F"/>
    <w:rsid w:val="0F4822B4"/>
    <w:rsid w:val="18EE0E5F"/>
    <w:rsid w:val="26EF4486"/>
    <w:rsid w:val="29090E7C"/>
    <w:rsid w:val="343A74C4"/>
    <w:rsid w:val="38131064"/>
    <w:rsid w:val="43A367F8"/>
    <w:rsid w:val="4F113D13"/>
    <w:rsid w:val="51BC2AEC"/>
    <w:rsid w:val="56A94039"/>
    <w:rsid w:val="56EC4613"/>
    <w:rsid w:val="58614F59"/>
    <w:rsid w:val="65006490"/>
    <w:rsid w:val="6EAB4F51"/>
    <w:rsid w:val="7024713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kern w:val="2"/>
      <w:sz w:val="21"/>
      <w:szCs w:val="24"/>
      <w:lang w:val="en-US" w:eastAsia="zh-CN" w:bidi="ar-SA"/>
    </w:rPr>
  </w:style>
  <w:style w:type="character" w:default="1" w:styleId="7">
    <w:name w:val="Default Paragraph Font"/>
    <w:semiHidden/>
    <w:uiPriority w:val="0"/>
  </w:style>
  <w:style w:type="table" w:default="1" w:styleId="5">
    <w:name w:val="Normal Table"/>
    <w:semiHidden/>
    <w:uiPriority w:val="0"/>
    <w:tblPr>
      <w:tblStyle w:val="5"/>
      <w:tblCellMar>
        <w:top w:w="0" w:type="dxa"/>
        <w:left w:w="108" w:type="dxa"/>
        <w:bottom w:w="0" w:type="dxa"/>
        <w:right w:w="108" w:type="dxa"/>
      </w:tblCellMar>
    </w:tblPr>
  </w:style>
  <w:style w:type="paragraph" w:styleId="2">
    <w:name w:val="footer"/>
    <w:basedOn w:val="1"/>
    <w:link w:val="8"/>
    <w:uiPriority w:val="0"/>
    <w:pPr>
      <w:tabs>
        <w:tab w:val="center" w:pos="4153"/>
        <w:tab w:val="right" w:pos="8306"/>
      </w:tabs>
      <w:snapToGrid w:val="0"/>
      <w:jc w:val="left"/>
    </w:pPr>
    <w:rPr>
      <w:sz w:val="18"/>
      <w:szCs w:val="18"/>
    </w:rPr>
  </w:style>
  <w:style w:type="paragraph" w:styleId="3">
    <w:name w:val="header"/>
    <w:basedOn w:val="1"/>
    <w:link w:val="9"/>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uiPriority w:val="0"/>
    <w:pPr>
      <w:spacing w:before="100" w:beforeAutospacing="1" w:after="100" w:afterAutospacing="1"/>
      <w:ind w:left="0" w:right="0"/>
      <w:jc w:val="left"/>
    </w:pPr>
    <w:rPr>
      <w:kern w:val="0"/>
      <w:sz w:val="24"/>
      <w:lang w:val="en-US" w:eastAsia="zh-CN" w:bidi="ar"/>
    </w:rPr>
  </w:style>
  <w:style w:type="table" w:styleId="6">
    <w:name w:val="Table Grid"/>
    <w:basedOn w:val="5"/>
    <w:uiPriority w:val="0"/>
    <w:pPr>
      <w:widowControl w:val="0"/>
      <w:jc w:val="both"/>
    </w:pPr>
    <w:tblPr>
      <w:tblStyle w:val="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页脚 字符"/>
    <w:link w:val="2"/>
    <w:uiPriority w:val="0"/>
    <w:rPr>
      <w:rFonts w:ascii="Calibri" w:hAnsi="Calibri"/>
      <w:kern w:val="2"/>
      <w:sz w:val="18"/>
      <w:szCs w:val="18"/>
    </w:rPr>
  </w:style>
  <w:style w:type="character" w:customStyle="1" w:styleId="9">
    <w:name w:val="页眉 字符"/>
    <w:link w:val="3"/>
    <w:uiPriority w:val="0"/>
    <w:rPr>
      <w:rFonts w:ascii="Calibri" w:hAnsi="Calibri"/>
      <w:kern w:val="2"/>
      <w:sz w:val="18"/>
      <w:szCs w:val="18"/>
    </w:rPr>
  </w:style>
  <w:style w:type="paragraph" w:styleId="10">
    <w:name w:val=""/>
    <w:unhideWhenUsed/>
    <w:uiPriority w:val="99"/>
    <w:rPr>
      <w:rFonts w:ascii="Calibri" w:hAnsi="Calibr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192</Words>
  <Characters>1095</Characters>
  <Lines>9</Lines>
  <Paragraphs>2</Paragraphs>
  <TotalTime>0</TotalTime>
  <ScaleCrop>false</ScaleCrop>
  <LinksUpToDate>false</LinksUpToDate>
  <CharactersWithSpaces>1285</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2023-11-27T08:01:00Z</dcterms:created>
  <dc:creator>DELL</dc:creator>
  <cp:lastModifiedBy>张文博</cp:lastModifiedBy>
  <dcterms:modified xsi:type="dcterms:W3CDTF">2023-12-14T08:32:52Z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02D068CE9B75416C826D25B8C1C9349F_13</vt:lpwstr>
  </property>
</Properties>
</file>