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562"/>
        <w:rPr>
          <w:color w:val="auto"/>
          <w:highlight w:val="none"/>
        </w:rPr>
      </w:pPr>
      <w:bookmarkStart w:id="0" w:name="_Toc29150"/>
      <w:bookmarkStart w:id="1" w:name="_Toc11067"/>
      <w:r>
        <w:rPr>
          <w:rFonts w:hint="eastAsia"/>
          <w:color w:val="auto"/>
          <w:highlight w:val="none"/>
        </w:rPr>
        <w:t>全国大学生数学建模竞赛赛区评阅工作规范</w:t>
      </w:r>
      <w:r>
        <w:rPr>
          <w:rFonts w:hint="eastAsia"/>
          <w:color w:val="auto"/>
          <w:highlight w:val="none"/>
        </w:rPr>
        <w:t>（20</w:t>
      </w:r>
      <w:r>
        <w:rPr>
          <w:rFonts w:hint="eastAsia"/>
          <w:color w:val="auto"/>
          <w:highlight w:val="none"/>
          <w:lang w:val="en-US" w:eastAsia="zh-CN"/>
        </w:rPr>
        <w:t>23</w:t>
      </w:r>
      <w:r>
        <w:rPr>
          <w:rFonts w:hint="eastAsia"/>
          <w:color w:val="auto"/>
          <w:highlight w:val="none"/>
        </w:rPr>
        <w:t>年修订稿）</w:t>
      </w:r>
      <w:bookmarkEnd w:id="0"/>
      <w:bookmarkEnd w:id="1"/>
    </w:p>
    <w:p>
      <w:pPr>
        <w:ind w:firstLine="420"/>
        <w:rPr>
          <w:rFonts w:hint="eastAsia"/>
          <w:color w:val="auto"/>
          <w:highlight w:val="none"/>
        </w:rPr>
      </w:pPr>
      <w:r>
        <w:rPr>
          <w:rFonts w:hint="eastAsia"/>
          <w:color w:val="auto"/>
          <w:highlight w:val="none"/>
        </w:rPr>
        <w:t xml:space="preserve">为了适应新的形势，更好地促进全国大学生数学建模竞赛活动的健康发展，进一步提高赛区评阅工作的质量和公正、公平性，根据《全国大学生数学建模竞赛章程》和竞赛活动的现状，针对赛区的评阅工作实际制订本规范。 </w:t>
      </w:r>
    </w:p>
    <w:p>
      <w:pPr>
        <w:ind w:firstLine="420"/>
        <w:rPr>
          <w:rFonts w:hint="eastAsia"/>
          <w:color w:val="auto"/>
          <w:highlight w:val="none"/>
        </w:rPr>
      </w:pPr>
      <w:r>
        <w:rPr>
          <w:rFonts w:hint="eastAsia"/>
          <w:color w:val="auto"/>
          <w:highlight w:val="none"/>
        </w:rPr>
        <w:t>一、评阅组的组成</w:t>
      </w:r>
    </w:p>
    <w:p>
      <w:pPr>
        <w:ind w:firstLine="420"/>
        <w:rPr>
          <w:rFonts w:hint="eastAsia"/>
          <w:color w:val="auto"/>
          <w:highlight w:val="none"/>
        </w:rPr>
      </w:pPr>
      <w:r>
        <w:rPr>
          <w:rFonts w:hint="eastAsia"/>
          <w:color w:val="auto"/>
          <w:highlight w:val="none"/>
        </w:rPr>
        <w:t xml:space="preserve">第一条，赛区评阅组（以下简称评阅组）的评委由赛区组委会聘请，所有评委都是受聘于赛区组委会，不代表所属学校参加评阅工作。 </w:t>
      </w:r>
    </w:p>
    <w:p>
      <w:pPr>
        <w:ind w:firstLine="420"/>
        <w:rPr>
          <w:rFonts w:hint="eastAsia"/>
          <w:color w:val="auto"/>
          <w:highlight w:val="none"/>
        </w:rPr>
      </w:pPr>
      <w:r>
        <w:rPr>
          <w:rFonts w:hint="eastAsia"/>
          <w:color w:val="auto"/>
          <w:highlight w:val="none"/>
        </w:rPr>
        <w:t xml:space="preserve">第二条，评委应该是数学建模方面业务水平高、作风正派的专家，必须具有数学建模教学或相关研究方面的经历。条件允许时应鼓励有经验的竞赛指导教师参加评阅工作。评委可以来自本赛区，也可以来自本赛区以外。 </w:t>
      </w:r>
    </w:p>
    <w:p>
      <w:pPr>
        <w:ind w:firstLine="420"/>
        <w:rPr>
          <w:rFonts w:hint="eastAsia"/>
          <w:color w:val="auto"/>
          <w:highlight w:val="none"/>
        </w:rPr>
      </w:pPr>
      <w:r>
        <w:rPr>
          <w:rFonts w:hint="eastAsia"/>
          <w:color w:val="auto"/>
          <w:highlight w:val="none"/>
        </w:rPr>
        <w:t>第三条，评阅组的总人数应根据评阅论文的总份数由赛区组委会确定。</w:t>
      </w:r>
    </w:p>
    <w:p>
      <w:pPr>
        <w:ind w:firstLine="420"/>
        <w:rPr>
          <w:rFonts w:hint="eastAsia"/>
          <w:color w:val="auto"/>
          <w:highlight w:val="none"/>
        </w:rPr>
      </w:pPr>
      <w:r>
        <w:rPr>
          <w:rFonts w:hint="eastAsia"/>
          <w:color w:val="auto"/>
          <w:highlight w:val="none"/>
        </w:rPr>
        <w:t xml:space="preserve">第四条，根据需要，评阅组可以按竞赛题目分为若干个评阅小组。除全国组委会、赛区组委会及其专家组成员和当年的赛题命题人外，每个评阅小组中来自同一学校的评委数量原则上不得超过1人。 </w:t>
      </w:r>
    </w:p>
    <w:p>
      <w:pPr>
        <w:ind w:firstLine="420"/>
        <w:rPr>
          <w:rFonts w:hint="eastAsia"/>
          <w:color w:val="auto"/>
          <w:highlight w:val="none"/>
        </w:rPr>
      </w:pPr>
      <w:r>
        <w:rPr>
          <w:rFonts w:hint="eastAsia"/>
          <w:color w:val="auto"/>
          <w:highlight w:val="none"/>
        </w:rPr>
        <w:t xml:space="preserve">第五条，评阅组（或小组）设组长1名，可根据需要设副组长1-2名。组长、副组长一般应由不直接参与竞赛指导工作的评委担任。 </w:t>
      </w:r>
    </w:p>
    <w:p>
      <w:pPr>
        <w:ind w:firstLine="420"/>
        <w:rPr>
          <w:rFonts w:hint="eastAsia"/>
          <w:color w:val="auto"/>
          <w:highlight w:val="none"/>
        </w:rPr>
      </w:pPr>
      <w:r>
        <w:rPr>
          <w:rFonts w:hint="eastAsia"/>
          <w:color w:val="auto"/>
          <w:highlight w:val="none"/>
        </w:rPr>
        <w:t xml:space="preserve">第六条，两个和两个以上的赛区可联合组织评阅。联合评阅工作的具体流程由参加联合评阅的赛区组委会参照本规范的各条款经过充分协商后确定。 </w:t>
      </w:r>
    </w:p>
    <w:p>
      <w:pPr>
        <w:ind w:firstLine="420"/>
        <w:rPr>
          <w:rFonts w:hint="eastAsia"/>
          <w:color w:val="auto"/>
          <w:highlight w:val="none"/>
        </w:rPr>
      </w:pPr>
      <w:r>
        <w:rPr>
          <w:rFonts w:hint="eastAsia"/>
          <w:color w:val="auto"/>
          <w:highlight w:val="none"/>
        </w:rPr>
        <w:t>二、评阅前的准备</w:t>
      </w:r>
    </w:p>
    <w:p>
      <w:pPr>
        <w:ind w:firstLine="420"/>
        <w:rPr>
          <w:rFonts w:hint="eastAsia"/>
          <w:color w:val="auto"/>
          <w:highlight w:val="none"/>
        </w:rPr>
      </w:pPr>
      <w:r>
        <w:rPr>
          <w:rFonts w:hint="eastAsia"/>
          <w:color w:val="auto"/>
          <w:highlight w:val="none"/>
        </w:rPr>
        <w:t xml:space="preserve">第七条，赛区评阅工作由评阅组（或小组）在赛区组委会的领导下进行，由组长和副组长负责组织实施。 </w:t>
      </w:r>
    </w:p>
    <w:p>
      <w:pPr>
        <w:ind w:firstLine="420"/>
        <w:rPr>
          <w:rFonts w:hint="eastAsia"/>
          <w:color w:val="auto"/>
          <w:highlight w:val="none"/>
        </w:rPr>
      </w:pPr>
      <w:r>
        <w:rPr>
          <w:rFonts w:hint="eastAsia"/>
          <w:color w:val="auto"/>
          <w:highlight w:val="none"/>
        </w:rPr>
        <w:t xml:space="preserve">第八条，在竞赛结束以后，赛区组委会应组织人员对所有的参赛论文进行随机编号处理，并由专人负责保管。编号后的论文不能有显示参赛学校和参赛者身份的任何信息。 </w:t>
      </w:r>
    </w:p>
    <w:p>
      <w:pPr>
        <w:ind w:firstLine="420"/>
        <w:rPr>
          <w:rFonts w:hint="eastAsia"/>
          <w:color w:val="auto"/>
          <w:highlight w:val="none"/>
        </w:rPr>
      </w:pPr>
      <w:r>
        <w:rPr>
          <w:rFonts w:hint="eastAsia"/>
          <w:color w:val="auto"/>
          <w:highlight w:val="none"/>
        </w:rPr>
        <w:t xml:space="preserve">第九条，评阅严格实行回避制度，按照一定程序将论文随机分配给评委评阅，使每位评委不能评阅所属学校的参赛论文。 </w:t>
      </w:r>
    </w:p>
    <w:p>
      <w:pPr>
        <w:ind w:firstLine="420"/>
        <w:rPr>
          <w:rFonts w:hint="eastAsia"/>
          <w:color w:val="auto"/>
          <w:highlight w:val="none"/>
        </w:rPr>
      </w:pPr>
      <w:r>
        <w:rPr>
          <w:rFonts w:hint="eastAsia"/>
          <w:color w:val="auto"/>
          <w:highlight w:val="none"/>
        </w:rPr>
        <w:t xml:space="preserve">第十条，评阅组（或小组）在正式评阅前，组长负责组织所有评委对赛题、评阅要点和可能的解题思路进行充分的讨论，在达成共识的基础上确定可操作的评阅细则。为了保证评阅质量，可以先组织评委试评阅若干篇论文，对评阅细则进行必要的修改，然后再开始正式评阅。所有评委应按统一的评阅细则进行评阅。 </w:t>
      </w:r>
    </w:p>
    <w:p>
      <w:pPr>
        <w:ind w:firstLine="420"/>
        <w:rPr>
          <w:rFonts w:hint="eastAsia"/>
          <w:color w:val="auto"/>
          <w:highlight w:val="none"/>
        </w:rPr>
      </w:pPr>
      <w:r>
        <w:rPr>
          <w:rFonts w:hint="eastAsia"/>
          <w:color w:val="auto"/>
          <w:highlight w:val="none"/>
        </w:rPr>
        <w:t>三、评阅的过程</w:t>
      </w:r>
    </w:p>
    <w:p>
      <w:pPr>
        <w:ind w:firstLine="420"/>
        <w:rPr>
          <w:rFonts w:hint="eastAsia"/>
          <w:color w:val="auto"/>
          <w:highlight w:val="none"/>
        </w:rPr>
      </w:pPr>
      <w:r>
        <w:rPr>
          <w:rFonts w:hint="eastAsia"/>
          <w:color w:val="auto"/>
          <w:highlight w:val="none"/>
        </w:rPr>
        <w:t xml:space="preserve">第十一条，评阅过程应保证有充分的实际评阅时间。实际评阅时间原则上不能少于2天。 </w:t>
      </w:r>
    </w:p>
    <w:p>
      <w:pPr>
        <w:ind w:firstLine="420"/>
        <w:rPr>
          <w:rFonts w:hint="eastAsia"/>
          <w:color w:val="auto"/>
          <w:highlight w:val="none"/>
        </w:rPr>
      </w:pPr>
      <w:r>
        <w:rPr>
          <w:rFonts w:hint="eastAsia"/>
          <w:color w:val="auto"/>
          <w:highlight w:val="none"/>
        </w:rPr>
        <w:t xml:space="preserve">第十二条，在保证公平、公正和评阅质量的前提下，评阅形式可以采用纸质版论文评阅或采用电子版论文评阅，也可以采用二者结合的方式评阅。 </w:t>
      </w:r>
    </w:p>
    <w:p>
      <w:pPr>
        <w:ind w:firstLine="420"/>
        <w:rPr>
          <w:rFonts w:hint="eastAsia"/>
          <w:color w:val="auto"/>
          <w:highlight w:val="none"/>
        </w:rPr>
      </w:pPr>
      <w:r>
        <w:rPr>
          <w:rFonts w:hint="eastAsia"/>
          <w:color w:val="auto"/>
          <w:highlight w:val="none"/>
        </w:rPr>
        <w:t xml:space="preserve">第十三条，每篇论文应由至少3位评委独立评阅。评委不得随意翻阅不属于自己评阅的论文，不得干扰其他评委的评阅工作。 </w:t>
      </w:r>
    </w:p>
    <w:p>
      <w:pPr>
        <w:ind w:firstLine="420"/>
        <w:rPr>
          <w:rFonts w:hint="eastAsia"/>
          <w:color w:val="auto"/>
          <w:highlight w:val="none"/>
        </w:rPr>
      </w:pPr>
      <w:r>
        <w:rPr>
          <w:rFonts w:hint="eastAsia"/>
          <w:color w:val="auto"/>
          <w:highlight w:val="none"/>
        </w:rPr>
        <w:t xml:space="preserve">第十四条，当评委对同一篇论文的评阅结果分歧较大时，评阅组（或小组）应以适当的形式组织复议，尽量消除误判以及因个人评分习惯不同所引起的误差。 </w:t>
      </w:r>
    </w:p>
    <w:p>
      <w:pPr>
        <w:ind w:firstLine="420"/>
        <w:rPr>
          <w:rFonts w:hint="eastAsia"/>
          <w:color w:val="auto"/>
          <w:highlight w:val="none"/>
        </w:rPr>
      </w:pPr>
      <w:r>
        <w:rPr>
          <w:rFonts w:hint="eastAsia"/>
          <w:color w:val="auto"/>
          <w:highlight w:val="none"/>
        </w:rPr>
        <w:t xml:space="preserve">第十五条，评阅组（或小组）应注意发现有突出创新点、但从全面衡量达不到申报全国奖水平的论文，提交由评阅组长签名的报告，交赛区组委会处理（参见附件1）。 </w:t>
      </w:r>
    </w:p>
    <w:p>
      <w:pPr>
        <w:ind w:firstLine="420"/>
        <w:rPr>
          <w:rFonts w:hint="eastAsia"/>
          <w:color w:val="auto"/>
          <w:highlight w:val="none"/>
        </w:rPr>
      </w:pPr>
      <w:r>
        <w:rPr>
          <w:rFonts w:hint="eastAsia"/>
          <w:color w:val="auto"/>
          <w:highlight w:val="none"/>
        </w:rPr>
        <w:t xml:space="preserve">第十六条，评阅组（或小组）在评阅过程中，应采取措施对有抄袭或剽窃及雷同嫌疑的论文进行查证和认定，并做好记录上报赛区组委会。 </w:t>
      </w:r>
    </w:p>
    <w:p>
      <w:pPr>
        <w:ind w:firstLine="420"/>
        <w:rPr>
          <w:rFonts w:hint="eastAsia"/>
          <w:color w:val="auto"/>
          <w:highlight w:val="none"/>
        </w:rPr>
      </w:pPr>
      <w:r>
        <w:rPr>
          <w:rFonts w:hint="eastAsia"/>
          <w:color w:val="auto"/>
          <w:highlight w:val="none"/>
        </w:rPr>
        <w:t>四、评阅结果的确定</w:t>
      </w:r>
    </w:p>
    <w:p>
      <w:pPr>
        <w:ind w:firstLine="420"/>
        <w:rPr>
          <w:rFonts w:hint="eastAsia"/>
          <w:color w:val="auto"/>
          <w:highlight w:val="none"/>
        </w:rPr>
      </w:pPr>
      <w:r>
        <w:rPr>
          <w:rFonts w:hint="eastAsia"/>
          <w:color w:val="auto"/>
          <w:highlight w:val="none"/>
        </w:rPr>
        <w:t xml:space="preserve">第十七条，评阅组（或小组）将评阅的初步结果提交给赛区组委会，由赛区组委会最终确定本赛区的获奖结果（包括送全国评阅的论文）。 </w:t>
      </w:r>
    </w:p>
    <w:p>
      <w:pPr>
        <w:ind w:firstLine="420"/>
        <w:rPr>
          <w:rFonts w:hint="eastAsia"/>
          <w:color w:val="auto"/>
          <w:highlight w:val="none"/>
        </w:rPr>
      </w:pPr>
      <w:r>
        <w:rPr>
          <w:rFonts w:hint="eastAsia"/>
          <w:color w:val="auto"/>
          <w:highlight w:val="none"/>
        </w:rPr>
        <w:t xml:space="preserve">第十八条，赛区组委会在确定最终获奖结果前，应组织本赛区的面试（答辩）工作，其范围和方式由赛区组委会决定。 </w:t>
      </w:r>
    </w:p>
    <w:p>
      <w:pPr>
        <w:ind w:firstLine="420"/>
        <w:rPr>
          <w:rFonts w:hint="eastAsia"/>
          <w:color w:val="auto"/>
          <w:highlight w:val="none"/>
        </w:rPr>
      </w:pPr>
      <w:r>
        <w:rPr>
          <w:rFonts w:hint="eastAsia"/>
          <w:color w:val="auto"/>
          <w:highlight w:val="none"/>
        </w:rPr>
        <w:t xml:space="preserve">第十九条，赛区报送全国评阅的论文数量不能超过全国组委会分配给所属赛区的数量（参见附件2）。 </w:t>
      </w:r>
    </w:p>
    <w:p>
      <w:pPr>
        <w:ind w:firstLine="420"/>
        <w:rPr>
          <w:rFonts w:hint="eastAsia"/>
          <w:color w:val="auto"/>
          <w:highlight w:val="none"/>
        </w:rPr>
      </w:pPr>
      <w:r>
        <w:rPr>
          <w:rFonts w:hint="eastAsia"/>
          <w:color w:val="auto"/>
          <w:highlight w:val="none"/>
        </w:rPr>
        <w:t xml:space="preserve">第二十条，赛区组委会在确定报送全国评阅论文时，同一所学校报送全国评阅论文的数量不能超过全国组委会的有关规定（参见附件2）。 </w:t>
      </w:r>
    </w:p>
    <w:p>
      <w:pPr>
        <w:ind w:firstLine="420"/>
        <w:rPr>
          <w:rFonts w:hint="eastAsia"/>
          <w:color w:val="auto"/>
          <w:highlight w:val="none"/>
        </w:rPr>
      </w:pPr>
      <w:r>
        <w:rPr>
          <w:rFonts w:hint="eastAsia"/>
          <w:color w:val="auto"/>
          <w:highlight w:val="none"/>
        </w:rPr>
        <w:t>第二十一条，对于报送全国评阅的论文，赛区组委会要按照全国组委会的统一要求进行编号并将编号信息表完整准确地录入网上系统，同时打印盖章后连同纸质版论文一起报送全国组委会。</w:t>
      </w:r>
    </w:p>
    <w:p>
      <w:pPr>
        <w:ind w:firstLine="420"/>
        <w:rPr>
          <w:rFonts w:hint="eastAsia"/>
          <w:color w:val="auto"/>
          <w:highlight w:val="none"/>
        </w:rPr>
      </w:pPr>
      <w:r>
        <w:rPr>
          <w:rFonts w:hint="eastAsia"/>
          <w:color w:val="auto"/>
          <w:highlight w:val="none"/>
        </w:rPr>
        <w:t>五、论文相似度的查证</w:t>
      </w:r>
    </w:p>
    <w:p>
      <w:pPr>
        <w:ind w:firstLine="420"/>
        <w:rPr>
          <w:rFonts w:hint="eastAsia"/>
          <w:color w:val="auto"/>
          <w:highlight w:val="none"/>
        </w:rPr>
      </w:pPr>
      <w:r>
        <w:rPr>
          <w:rFonts w:hint="eastAsia"/>
          <w:color w:val="auto"/>
          <w:highlight w:val="none"/>
        </w:rPr>
        <w:t xml:space="preserve">第二十二条，赛区组委会应认真组织对本赛区参赛论文的相似度查证工作。 </w:t>
      </w:r>
    </w:p>
    <w:p>
      <w:pPr>
        <w:ind w:firstLine="420"/>
        <w:rPr>
          <w:rFonts w:hint="eastAsia"/>
          <w:color w:val="auto"/>
          <w:highlight w:val="none"/>
        </w:rPr>
      </w:pPr>
      <w:r>
        <w:rPr>
          <w:rFonts w:hint="eastAsia"/>
          <w:color w:val="auto"/>
          <w:highlight w:val="none"/>
        </w:rPr>
        <w:t>第二十三条，经相关系统查验相似度超过一定标准的论文，原则上不能报送全国评阅（参见附件3）。</w:t>
      </w:r>
    </w:p>
    <w:p>
      <w:pPr>
        <w:ind w:firstLine="420"/>
        <w:rPr>
          <w:rFonts w:hint="eastAsia"/>
          <w:color w:val="auto"/>
          <w:highlight w:val="none"/>
        </w:rPr>
      </w:pPr>
      <w:r>
        <w:rPr>
          <w:rFonts w:hint="eastAsia"/>
          <w:color w:val="auto"/>
          <w:highlight w:val="none"/>
        </w:rPr>
        <w:t>六、本规范的实施与解释</w:t>
      </w:r>
    </w:p>
    <w:p>
      <w:pPr>
        <w:ind w:firstLine="420"/>
        <w:rPr>
          <w:rFonts w:hint="eastAsia"/>
          <w:color w:val="auto"/>
          <w:highlight w:val="none"/>
        </w:rPr>
      </w:pPr>
      <w:r>
        <w:rPr>
          <w:rFonts w:hint="eastAsia"/>
          <w:color w:val="auto"/>
          <w:highlight w:val="none"/>
        </w:rPr>
        <w:t xml:space="preserve">第二十四条，本规范由赛区组委会负责组织实施，全国组委会监督指导。 </w:t>
      </w:r>
    </w:p>
    <w:p>
      <w:pPr>
        <w:ind w:firstLine="420"/>
        <w:rPr>
          <w:rFonts w:hint="eastAsia"/>
          <w:color w:val="auto"/>
          <w:highlight w:val="none"/>
        </w:rPr>
      </w:pPr>
      <w:r>
        <w:rPr>
          <w:rFonts w:hint="eastAsia"/>
          <w:color w:val="auto"/>
          <w:highlight w:val="none"/>
        </w:rPr>
        <w:t>第二十五条，不能全面执行本规范的赛区组委会，须在评阅开始两周前书面向全国组委会说明原因，并得到全国组委会的认可。否则，该赛区组委会将不能参加当年优秀组织工作奖的评选，并且下一年报送全国评阅论文的数量将减少10%~20%。</w:t>
      </w: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color w:val="auto"/>
          <w:highlight w:val="none"/>
        </w:rPr>
      </w:pPr>
      <w:r>
        <w:rPr>
          <w:rFonts w:hint="eastAsia"/>
          <w:color w:val="auto"/>
          <w:highlight w:val="none"/>
        </w:rPr>
        <w:t xml:space="preserve">第二十六条，本规范自公布之日起执行，解释权属于全国大学生数学建模竞赛组委会。 </w:t>
      </w:r>
    </w:p>
    <w:p>
      <w:pPr>
        <w:ind w:firstLine="420"/>
        <w:rPr>
          <w:rFonts w:hint="eastAsia"/>
          <w:color w:val="auto"/>
          <w:highlight w:val="none"/>
        </w:rPr>
      </w:pPr>
      <w:r>
        <w:rPr>
          <w:rFonts w:hint="eastAsia"/>
          <w:color w:val="auto"/>
          <w:highlight w:val="none"/>
        </w:rPr>
        <w:t xml:space="preserve">附件1：关于突出创新点论文的发现和认定 为了激励学生的创新精神，全国组委会允许赛区组委会在按照比例（参见附件2）报送全国评阅的论文之外，对确有突出创新点的论文，由评阅组长签署意见，说明该论文的突出创新点所在，及从全面衡量达不到申报全国奖水平的原因，由赛区组委会与按照比例申报的论文一起送交全国评阅，每个赛区每年每题最多报送一篇。(相应的论文上请注明参赛队的全国统一报名号，但不需要给出全国评阅编号，也不需要录入全国评阅信息。) </w:t>
      </w:r>
    </w:p>
    <w:p>
      <w:pPr>
        <w:keepNext w:val="0"/>
        <w:keepLines w:val="0"/>
        <w:pageBreakBefore w:val="0"/>
        <w:widowControl w:val="0"/>
        <w:kinsoku/>
        <w:wordWrap/>
        <w:overflowPunct/>
        <w:topLinePunct w:val="0"/>
        <w:autoSpaceDE/>
        <w:autoSpaceDN/>
        <w:bidi w:val="0"/>
        <w:adjustRightInd/>
        <w:snapToGrid/>
        <w:spacing w:before="157" w:beforeLines="50"/>
        <w:ind w:firstLine="420"/>
        <w:textAlignment w:val="auto"/>
        <w:rPr>
          <w:rFonts w:hint="eastAsia"/>
          <w:color w:val="auto"/>
          <w:highlight w:val="none"/>
        </w:rPr>
      </w:pPr>
      <w:r>
        <w:rPr>
          <w:rFonts w:hint="eastAsia"/>
          <w:color w:val="auto"/>
          <w:highlight w:val="none"/>
        </w:rPr>
        <w:t>附件2：赛区报送全国评阅论文的数量确定方式</w:t>
      </w:r>
      <w:r>
        <w:rPr>
          <w:rFonts w:hint="eastAsia"/>
          <w:b/>
          <w:bCs/>
          <w:color w:val="auto"/>
          <w:highlight w:val="none"/>
        </w:rPr>
        <w:t xml:space="preserve"> （2023年修订）</w:t>
      </w:r>
    </w:p>
    <w:p>
      <w:pPr>
        <w:ind w:firstLine="420"/>
        <w:rPr>
          <w:rFonts w:hint="eastAsia"/>
          <w:color w:val="auto"/>
          <w:highlight w:val="none"/>
        </w:rPr>
      </w:pPr>
      <w:r>
        <w:rPr>
          <w:rFonts w:hint="eastAsia"/>
          <w:color w:val="auto"/>
          <w:highlight w:val="none"/>
        </w:rPr>
        <w:t>（1）按本科组和</w:t>
      </w:r>
      <w:r>
        <w:rPr>
          <w:rFonts w:hint="eastAsia"/>
          <w:color w:val="auto"/>
          <w:highlight w:val="none"/>
          <w:lang w:eastAsia="zh-CN"/>
        </w:rPr>
        <w:t>高职高专组</w:t>
      </w:r>
      <w:r>
        <w:rPr>
          <w:rFonts w:hint="eastAsia"/>
          <w:color w:val="auto"/>
          <w:highlight w:val="none"/>
        </w:rPr>
        <w:t xml:space="preserve">分别计算：每个赛区送全国评阅论文的数量基数，该基数与该赛区报名参赛队数（简称报名队数）的关系如下： </w:t>
      </w:r>
    </w:p>
    <w:p>
      <w:pPr>
        <w:ind w:firstLine="420"/>
        <w:rPr>
          <w:rFonts w:hint="eastAsia"/>
          <w:color w:val="auto"/>
          <w:highlight w:val="none"/>
        </w:rPr>
      </w:pPr>
      <w:r>
        <w:rPr>
          <w:rFonts w:hint="eastAsia"/>
          <w:color w:val="auto"/>
          <w:highlight w:val="none"/>
        </w:rPr>
        <w:t xml:space="preserve">报名队数不超过200个队的部分，送全国评阅论文的数量基数占报名队数的12%； </w:t>
      </w:r>
    </w:p>
    <w:p>
      <w:pPr>
        <w:ind w:firstLine="420"/>
        <w:rPr>
          <w:rFonts w:hint="eastAsia"/>
          <w:color w:val="auto"/>
          <w:highlight w:val="none"/>
        </w:rPr>
      </w:pPr>
      <w:r>
        <w:rPr>
          <w:rFonts w:hint="eastAsia"/>
          <w:color w:val="auto"/>
          <w:highlight w:val="none"/>
        </w:rPr>
        <w:t>报名队数超过200但不超过500个队的部分，送全国评阅论文的数</w:t>
      </w:r>
      <w:bookmarkStart w:id="2" w:name="_GoBack"/>
      <w:bookmarkEnd w:id="2"/>
      <w:r>
        <w:rPr>
          <w:rFonts w:hint="eastAsia"/>
          <w:color w:val="auto"/>
          <w:highlight w:val="none"/>
        </w:rPr>
        <w:t xml:space="preserve">量基数占报名队数的10%； </w:t>
      </w:r>
    </w:p>
    <w:p>
      <w:pPr>
        <w:ind w:firstLine="420"/>
        <w:rPr>
          <w:rFonts w:hint="eastAsia"/>
          <w:color w:val="auto"/>
          <w:highlight w:val="none"/>
        </w:rPr>
      </w:pPr>
      <w:r>
        <w:rPr>
          <w:rFonts w:hint="eastAsia"/>
          <w:color w:val="auto"/>
          <w:highlight w:val="none"/>
        </w:rPr>
        <w:t xml:space="preserve">报名队数超过500但不超过800个队的部分，送全国评阅论文的数量基数占报名队数的8%； </w:t>
      </w:r>
    </w:p>
    <w:p>
      <w:pPr>
        <w:ind w:firstLine="420"/>
        <w:rPr>
          <w:rFonts w:hint="eastAsia"/>
          <w:color w:val="auto"/>
          <w:highlight w:val="none"/>
        </w:rPr>
      </w:pPr>
      <w:r>
        <w:rPr>
          <w:rFonts w:hint="eastAsia"/>
          <w:color w:val="auto"/>
          <w:highlight w:val="none"/>
        </w:rPr>
        <w:t xml:space="preserve">报名队数超过800个队的部分，送全国评阅论文的数量基数占报名队数的5%。 </w:t>
      </w:r>
    </w:p>
    <w:p>
      <w:pPr>
        <w:ind w:firstLine="420"/>
        <w:rPr>
          <w:rFonts w:hint="eastAsia"/>
          <w:color w:val="auto"/>
          <w:highlight w:val="none"/>
        </w:rPr>
      </w:pPr>
      <w:r>
        <w:rPr>
          <w:rFonts w:hint="eastAsia"/>
          <w:color w:val="auto"/>
          <w:highlight w:val="none"/>
        </w:rPr>
        <w:t>（2）按本科组和</w:t>
      </w:r>
      <w:r>
        <w:rPr>
          <w:rFonts w:hint="eastAsia"/>
          <w:color w:val="auto"/>
          <w:highlight w:val="none"/>
          <w:lang w:eastAsia="zh-CN"/>
        </w:rPr>
        <w:t>高职高专组</w:t>
      </w:r>
      <w:r>
        <w:rPr>
          <w:rFonts w:hint="eastAsia"/>
          <w:color w:val="auto"/>
          <w:highlight w:val="none"/>
        </w:rPr>
        <w:t>分别计算：每个赛区送全国评阅论文的数量 = 该赛区送全国评阅论文的数量基数 * A / 所有赛区送全国评阅论文的数量基数之和 （如果据此计算的该赛区送全国评阅论文的数量小于B，则该赛区送全国评阅论文的数量按B处理）。其中A、B是控制参数，具体取值如下：</w:t>
      </w:r>
    </w:p>
    <w:p>
      <w:pPr>
        <w:ind w:firstLine="420"/>
        <w:rPr>
          <w:rFonts w:hint="eastAsia"/>
          <w:color w:val="auto"/>
          <w:highlight w:val="none"/>
        </w:rPr>
      </w:pPr>
      <w:r>
        <w:rPr>
          <w:rFonts w:hint="eastAsia"/>
          <w:color w:val="auto"/>
          <w:highlight w:val="none"/>
        </w:rPr>
        <w:t>对于本科组：A=min(2000, 本科组总报名队数*8%)，B=6；</w:t>
      </w:r>
    </w:p>
    <w:p>
      <w:pPr>
        <w:ind w:firstLine="420"/>
        <w:rPr>
          <w:rFonts w:hint="eastAsia"/>
          <w:color w:val="auto"/>
          <w:highlight w:val="none"/>
        </w:rPr>
      </w:pPr>
      <w:r>
        <w:rPr>
          <w:rFonts w:hint="eastAsia"/>
          <w:color w:val="auto"/>
          <w:highlight w:val="none"/>
        </w:rPr>
        <w:t>对于</w:t>
      </w:r>
      <w:r>
        <w:rPr>
          <w:rFonts w:hint="eastAsia"/>
          <w:color w:val="auto"/>
          <w:highlight w:val="none"/>
          <w:lang w:eastAsia="zh-CN"/>
        </w:rPr>
        <w:t>高职高专组</w:t>
      </w:r>
      <w:r>
        <w:rPr>
          <w:rFonts w:hint="eastAsia"/>
          <w:color w:val="auto"/>
          <w:highlight w:val="none"/>
        </w:rPr>
        <w:t xml:space="preserve">：A= min(1300, </w:t>
      </w:r>
      <w:r>
        <w:rPr>
          <w:rFonts w:hint="eastAsia"/>
          <w:color w:val="auto"/>
          <w:highlight w:val="none"/>
          <w:lang w:eastAsia="zh-CN"/>
        </w:rPr>
        <w:t>高职高专组</w:t>
      </w:r>
      <w:r>
        <w:rPr>
          <w:rFonts w:hint="eastAsia"/>
          <w:color w:val="auto"/>
          <w:highlight w:val="none"/>
        </w:rPr>
        <w:t>总报名队数*8%)，B=4。</w:t>
      </w:r>
    </w:p>
    <w:p>
      <w:pPr>
        <w:ind w:firstLine="420"/>
        <w:rPr>
          <w:rFonts w:hint="eastAsia"/>
          <w:color w:val="auto"/>
          <w:highlight w:val="none"/>
        </w:rPr>
      </w:pPr>
      <w:r>
        <w:rPr>
          <w:rFonts w:hint="eastAsia"/>
          <w:color w:val="auto"/>
          <w:highlight w:val="none"/>
        </w:rPr>
        <w:t xml:space="preserve">（3）每篇送全国评阅论文应明确是申报一等奖或是二等奖；每个赛区送全国评阅论文中，申报一等奖的数量不超过40%。 </w:t>
      </w:r>
    </w:p>
    <w:p>
      <w:pPr>
        <w:ind w:firstLine="420"/>
        <w:rPr>
          <w:rFonts w:hint="eastAsia"/>
          <w:color w:val="auto"/>
          <w:highlight w:val="none"/>
        </w:rPr>
      </w:pPr>
      <w:r>
        <w:rPr>
          <w:rFonts w:hint="eastAsia"/>
          <w:color w:val="auto"/>
          <w:highlight w:val="none"/>
        </w:rPr>
        <w:t xml:space="preserve">（4）每个赛区同一所学校每道赛题报送全国评阅论文的数量不能超过4篇，其中申报一等奖的数量不能超过2篇。 </w:t>
      </w:r>
    </w:p>
    <w:p>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color w:val="auto"/>
          <w:highlight w:val="none"/>
        </w:rPr>
      </w:pPr>
      <w:r>
        <w:rPr>
          <w:rFonts w:hint="eastAsia"/>
          <w:color w:val="auto"/>
          <w:highlight w:val="none"/>
        </w:rPr>
        <w:t xml:space="preserve">说明：在全国评阅论文时，赛区申报全国二等奖的论文原则上不推荐获全国一等奖（特殊情况由全国评阅专家组讨论决定）。 </w:t>
      </w:r>
    </w:p>
    <w:p>
      <w:pPr>
        <w:ind w:firstLine="420"/>
        <w:rPr>
          <w:rFonts w:hint="eastAsia"/>
          <w:color w:val="auto"/>
          <w:highlight w:val="none"/>
        </w:rPr>
      </w:pPr>
      <w:r>
        <w:rPr>
          <w:rFonts w:hint="eastAsia"/>
          <w:color w:val="auto"/>
          <w:highlight w:val="none"/>
        </w:rPr>
        <w:t>附件3：关于参赛论文相似度查证的原则 针对目前使用的同方知网查重系统的文献库相似度，以及全国大学生数学建模竞赛论文自建库相似度的查验情况，对相似度较高的参赛论文的处理原则如下：</w:t>
      </w:r>
    </w:p>
    <w:p>
      <w:pPr>
        <w:ind w:firstLine="420"/>
        <w:rPr>
          <w:rFonts w:hint="eastAsia"/>
          <w:color w:val="auto"/>
          <w:highlight w:val="none"/>
        </w:rPr>
      </w:pPr>
      <w:r>
        <w:rPr>
          <w:rFonts w:hint="eastAsia"/>
          <w:color w:val="auto"/>
          <w:highlight w:val="none"/>
        </w:rPr>
        <w:t xml:space="preserve">（1）两个相似度中任何一个大于等于25%的参赛论文，原则上不能报送全国评阅；如果要报送全国评阅，赛区组委会应该在报送时给出说明意见；不给出说明意见的，全国评阅时不予受理。 </w:t>
      </w:r>
    </w:p>
    <w:p>
      <w:pPr>
        <w:ind w:firstLine="420"/>
        <w:rPr>
          <w:color w:val="auto"/>
          <w:highlight w:val="none"/>
        </w:rPr>
      </w:pPr>
      <w:r>
        <w:rPr>
          <w:rFonts w:hint="eastAsia"/>
          <w:color w:val="auto"/>
          <w:highlight w:val="none"/>
        </w:rPr>
        <w:t>（2）赛区组委会可以根据本赛区论文相似度查验的结果，确定不报送全国评阅、不进行赛区评阅和需要进行违纪处理的参赛论文的具体标准。</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420"/>
      </w:pPr>
      <w:r>
        <w:separator/>
      </w:r>
    </w:p>
  </w:footnote>
  <w:footnote w:type="continuationSeparator" w:id="1">
    <w:p>
      <w:pPr>
        <w:spacing w:line="336"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Yjg2NWJmNWY5NzM1OWRiOTA4MWQ3OGM1NDk4ZWYifQ=="/>
  </w:docVars>
  <w:rsids>
    <w:rsidRoot w:val="00000000"/>
    <w:rsid w:val="413F0BDF"/>
    <w:rsid w:val="4891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36" w:lineRule="auto"/>
      <w:ind w:firstLine="643" w:firstLineChars="20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jc w:val="center"/>
      <w:outlineLvl w:val="1"/>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2024-08-29T06:15:22Z</dcterms:created>
  <dc:creator>lv</dc:creator>
  <cp:lastModifiedBy>哈哈</cp:lastModifiedBy>
  <dcterms:modified xsi:type="dcterms:W3CDTF">2024-08-29T06:29:53Z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74C195252328419A8BB32D54E606E81E_12</vt:lpwstr>
  </property>
</Properties>
</file>