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webextensions/taskpanes.xml" ContentType="application/vnd.ms-office.webextensiontaskpan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BF" w:rsidRPr="009912CA" w:rsidRDefault="00760CBF" w:rsidP="00760CBF">
      <w:pPr>
        <w:pStyle w:val="aa"/>
        <w:ind w:firstLineChars="895" w:firstLine="2875"/>
        <w:rPr>
          <w:rFonts w:ascii="黑体" w:eastAsia="黑体"/>
          <w:sz w:val="32"/>
          <w:szCs w:val="32"/>
        </w:rPr>
      </w:pPr>
      <w:r w:rsidRPr="009912CA">
        <w:rPr>
          <w:rFonts w:ascii="Times New Roman" w:eastAsia="黑体" w:hAnsi="Times New Roman"/>
          <w:b/>
          <w:bCs/>
          <w:sz w:val="32"/>
          <w:szCs w:val="32"/>
        </w:rPr>
        <w:t>CUMCM</w:t>
      </w:r>
      <w:r w:rsidRPr="009912CA">
        <w:rPr>
          <w:rFonts w:ascii="Times New Roman" w:eastAsia="黑体" w:hAnsi="Times New Roman" w:hint="eastAsia"/>
          <w:b/>
          <w:bCs/>
          <w:sz w:val="32"/>
          <w:szCs w:val="32"/>
        </w:rPr>
        <w:t xml:space="preserve">-2020    Problem </w:t>
      </w:r>
      <w:r>
        <w:rPr>
          <w:rFonts w:ascii="Times New Roman" w:eastAsia="黑体" w:hAnsi="Times New Roman" w:hint="eastAsia"/>
          <w:b/>
          <w:bCs/>
          <w:sz w:val="32"/>
          <w:szCs w:val="32"/>
        </w:rPr>
        <w:t>C</w:t>
      </w:r>
    </w:p>
    <w:p w:rsidR="00760CBF" w:rsidRPr="001F7B38" w:rsidRDefault="00EA0160" w:rsidP="00760CBF">
      <w:pPr>
        <w:adjustRightInd w:val="0"/>
        <w:snapToGrid w:val="0"/>
        <w:spacing w:line="240" w:lineRule="atLeast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Line 2" o:spid="_x0000_s1026" style="position:absolute;left:0;text-align:left;z-index:251660288;visibility:visible" from="0,6.8pt" to="475.85pt,6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" strokeweight="4.5pt">
            <v:stroke linestyle="thinThick"/>
          </v:line>
        </w:pict>
      </w:r>
    </w:p>
    <w:p w:rsidR="0024338B" w:rsidRDefault="0021098B" w:rsidP="00760CBF">
      <w:pPr>
        <w:spacing w:line="400" w:lineRule="exact"/>
        <w:ind w:firstLineChars="896" w:firstLine="2698"/>
        <w:rPr>
          <w:rFonts w:ascii="Times New Roman" w:eastAsia="宋体" w:hAnsi="Times New Roman" w:cs="Times New Roman"/>
          <w:b/>
          <w:bCs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bCs/>
          <w:sz w:val="30"/>
          <w:szCs w:val="30"/>
        </w:rPr>
        <w:t>T</w:t>
      </w:r>
      <w:r>
        <w:rPr>
          <w:rFonts w:ascii="Times New Roman" w:eastAsia="宋体" w:hAnsi="Times New Roman" w:cs="Times New Roman"/>
          <w:b/>
          <w:bCs/>
          <w:sz w:val="30"/>
          <w:szCs w:val="30"/>
        </w:rPr>
        <w:t xml:space="preserve">he Credit </w:t>
      </w:r>
      <w:r>
        <w:rPr>
          <w:rFonts w:ascii="Times New Roman" w:eastAsia="宋体" w:hAnsi="Times New Roman" w:cs="Times New Roman" w:hint="eastAsia"/>
          <w:b/>
          <w:bCs/>
          <w:sz w:val="30"/>
          <w:szCs w:val="30"/>
        </w:rPr>
        <w:t>S</w:t>
      </w:r>
      <w:r>
        <w:rPr>
          <w:rFonts w:ascii="Times New Roman" w:eastAsia="宋体" w:hAnsi="Times New Roman" w:cs="Times New Roman"/>
          <w:b/>
          <w:bCs/>
          <w:sz w:val="30"/>
          <w:szCs w:val="30"/>
        </w:rPr>
        <w:t xml:space="preserve">trategies </w:t>
      </w:r>
      <w:r>
        <w:rPr>
          <w:rFonts w:ascii="Times New Roman" w:eastAsia="宋体" w:hAnsi="Times New Roman" w:cs="Times New Roman" w:hint="eastAsia"/>
          <w:b/>
          <w:bCs/>
          <w:sz w:val="30"/>
          <w:szCs w:val="30"/>
        </w:rPr>
        <w:t>for MSMEs</w:t>
      </w:r>
    </w:p>
    <w:p w:rsidR="006B4363" w:rsidRDefault="006B4363" w:rsidP="006B4363">
      <w:pPr>
        <w:rPr>
          <w:rFonts w:ascii="Times New Roman" w:eastAsia="等线" w:hAnsi="Times New Roman" w:cs="Times New Roman"/>
          <w:sz w:val="24"/>
          <w:szCs w:val="24"/>
        </w:rPr>
      </w:pPr>
      <w:r>
        <w:rPr>
          <w:rFonts w:ascii="Times New Roman" w:eastAsia="等线" w:hAnsi="Times New Roman" w:cs="Times New Roman" w:hint="eastAsia"/>
          <w:sz w:val="24"/>
          <w:szCs w:val="24"/>
        </w:rPr>
        <w:t>In reality, due to the relatively small scale of MSMEs (</w:t>
      </w:r>
      <w:r>
        <w:rPr>
          <w:rFonts w:ascii="Times New Roman" w:eastAsia="等线" w:hAnsi="Times New Roman" w:cs="Times New Roman"/>
          <w:sz w:val="24"/>
          <w:szCs w:val="24"/>
        </w:rPr>
        <w:t>Micro</w:t>
      </w:r>
      <w:r>
        <w:rPr>
          <w:rFonts w:ascii="Times New Roman" w:eastAsia="等线" w:hAnsi="Times New Roman" w:cs="Times New Roman" w:hint="eastAsia"/>
          <w:sz w:val="24"/>
          <w:szCs w:val="24"/>
        </w:rPr>
        <w:t>, s</w:t>
      </w:r>
      <w:r>
        <w:rPr>
          <w:rFonts w:ascii="Times New Roman" w:eastAsia="等线" w:hAnsi="Times New Roman" w:cs="Times New Roman"/>
          <w:sz w:val="24"/>
          <w:szCs w:val="24"/>
        </w:rPr>
        <w:t xml:space="preserve">mall and </w:t>
      </w:r>
      <w:r>
        <w:rPr>
          <w:rFonts w:ascii="Times New Roman" w:eastAsia="等线" w:hAnsi="Times New Roman" w:cs="Times New Roman" w:hint="eastAsia"/>
          <w:sz w:val="24"/>
          <w:szCs w:val="24"/>
        </w:rPr>
        <w:t>m</w:t>
      </w:r>
      <w:r>
        <w:rPr>
          <w:rFonts w:ascii="Times New Roman" w:eastAsia="等线" w:hAnsi="Times New Roman" w:cs="Times New Roman"/>
          <w:sz w:val="24"/>
          <w:szCs w:val="24"/>
        </w:rPr>
        <w:t xml:space="preserve">edium </w:t>
      </w:r>
      <w:r>
        <w:rPr>
          <w:rFonts w:ascii="Times New Roman" w:eastAsia="等线" w:hAnsi="Times New Roman" w:cs="Times New Roman" w:hint="eastAsia"/>
          <w:sz w:val="24"/>
          <w:szCs w:val="24"/>
        </w:rPr>
        <w:t>e</w:t>
      </w:r>
      <w:r>
        <w:rPr>
          <w:rFonts w:ascii="Times New Roman" w:eastAsia="等线" w:hAnsi="Times New Roman" w:cs="Times New Roman"/>
          <w:sz w:val="24"/>
          <w:szCs w:val="24"/>
        </w:rPr>
        <w:t>nterprises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) and the lack of collateral assets, banks </w:t>
      </w:r>
      <w:r>
        <w:rPr>
          <w:rFonts w:ascii="Times New Roman" w:eastAsia="等线" w:hAnsi="Times New Roman" w:cs="Times New Roman"/>
          <w:sz w:val="24"/>
          <w:szCs w:val="24"/>
        </w:rPr>
        <w:t>usually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 provide loans to enterprises with strong strength and stable supply-demand relationship based on credit policies, their transaction bill information and the influence of upstream and downstream enterprises.</w:t>
      </w:r>
      <w:r w:rsidR="00126691">
        <w:rPr>
          <w:rFonts w:ascii="Times New Roman" w:eastAsia="等线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Banks generally offer lower interest rates to enterprises with high credit standing and low credit risk. </w:t>
      </w:r>
      <w:r>
        <w:rPr>
          <w:rFonts w:ascii="Times New Roman" w:eastAsia="等线" w:hAnsi="Times New Roman" w:cs="Times New Roman"/>
          <w:sz w:val="24"/>
          <w:szCs w:val="24"/>
        </w:rPr>
        <w:t>At first, banks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 evaluate the credit risk of MSMEs according to their strength and reputation</w:t>
      </w:r>
      <w:r>
        <w:rPr>
          <w:rFonts w:ascii="Times New Roman" w:eastAsia="等线" w:hAnsi="Times New Roman" w:cs="Times New Roman"/>
          <w:sz w:val="24"/>
          <w:szCs w:val="24"/>
        </w:rPr>
        <w:t>. Then</w:t>
      </w:r>
      <w:r w:rsidR="00126691">
        <w:rPr>
          <w:rFonts w:ascii="Times New Roman" w:eastAsia="等线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等线" w:hAnsi="Times New Roman" w:cs="Times New Roman"/>
          <w:sz w:val="24"/>
          <w:szCs w:val="24"/>
        </w:rPr>
        <w:t xml:space="preserve">they </w:t>
      </w:r>
      <w:r>
        <w:rPr>
          <w:rFonts w:ascii="Times New Roman" w:eastAsia="等线" w:hAnsi="Times New Roman" w:cs="Times New Roman" w:hint="eastAsia"/>
          <w:sz w:val="24"/>
          <w:szCs w:val="24"/>
        </w:rPr>
        <w:t>determine whether to make loans and credit strategies</w:t>
      </w:r>
      <w:r>
        <w:rPr>
          <w:rFonts w:ascii="Times New Roman" w:eastAsia="等线" w:hAnsi="Times New Roman" w:cs="Times New Roman"/>
          <w:sz w:val="24"/>
          <w:szCs w:val="24"/>
        </w:rPr>
        <w:t>,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 such as </w:t>
      </w:r>
      <w:r>
        <w:rPr>
          <w:rFonts w:ascii="Times New Roman" w:eastAsia="等线" w:hAnsi="Times New Roman" w:cs="Times New Roman"/>
          <w:sz w:val="24"/>
          <w:szCs w:val="24"/>
        </w:rPr>
        <w:t>the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 amount</w:t>
      </w:r>
      <w:r>
        <w:rPr>
          <w:rFonts w:ascii="Times New Roman" w:eastAsia="等线" w:hAnsi="Times New Roman" w:cs="Times New Roman"/>
          <w:sz w:val="24"/>
          <w:szCs w:val="24"/>
        </w:rPr>
        <w:t xml:space="preserve"> of loans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eastAsia="等线" w:hAnsi="Times New Roman" w:cs="Times New Roman"/>
          <w:sz w:val="24"/>
          <w:szCs w:val="24"/>
        </w:rPr>
        <w:t xml:space="preserve">the </w:t>
      </w:r>
      <w:r>
        <w:rPr>
          <w:rFonts w:ascii="Times New Roman" w:eastAsia="等线" w:hAnsi="Times New Roman" w:cs="Times New Roman" w:hint="eastAsia"/>
          <w:sz w:val="24"/>
          <w:szCs w:val="24"/>
        </w:rPr>
        <w:t>interest rate</w:t>
      </w:r>
      <w:r>
        <w:rPr>
          <w:rFonts w:ascii="Times New Roman" w:eastAsia="等线" w:hAnsi="Times New Roman" w:cs="Times New Roman"/>
          <w:sz w:val="24"/>
          <w:szCs w:val="24"/>
        </w:rPr>
        <w:t>s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 and </w:t>
      </w:r>
      <w:r>
        <w:rPr>
          <w:rFonts w:ascii="Times New Roman" w:eastAsia="等线" w:hAnsi="Times New Roman" w:cs="Times New Roman"/>
          <w:sz w:val="24"/>
          <w:szCs w:val="24"/>
        </w:rPr>
        <w:t xml:space="preserve">the </w:t>
      </w:r>
      <w:r>
        <w:rPr>
          <w:rFonts w:ascii="Times New Roman" w:eastAsia="等线" w:hAnsi="Times New Roman" w:cs="Times New Roman" w:hint="eastAsia"/>
          <w:sz w:val="24"/>
          <w:szCs w:val="24"/>
        </w:rPr>
        <w:t>term</w:t>
      </w:r>
      <w:r>
        <w:rPr>
          <w:rFonts w:ascii="Times New Roman" w:eastAsia="等线" w:hAnsi="Times New Roman" w:cs="Times New Roman"/>
          <w:sz w:val="24"/>
          <w:szCs w:val="24"/>
        </w:rPr>
        <w:t xml:space="preserve"> of loans,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 according to credit risk and other factors.</w:t>
      </w:r>
    </w:p>
    <w:p w:rsidR="006B4363" w:rsidRDefault="006B4363" w:rsidP="006B4363">
      <w:pPr>
        <w:rPr>
          <w:rFonts w:ascii="Times New Roman" w:eastAsia="等线" w:hAnsi="Times New Roman" w:cs="Times New Roman"/>
          <w:sz w:val="24"/>
          <w:szCs w:val="24"/>
        </w:rPr>
      </w:pPr>
      <w:r>
        <w:rPr>
          <w:rFonts w:ascii="Times New Roman" w:eastAsia="等线" w:hAnsi="Times New Roman" w:cs="Times New Roman"/>
          <w:sz w:val="24"/>
          <w:szCs w:val="24"/>
        </w:rPr>
        <w:t>A bank determines the amount of loans per enterprise is between 100</w:t>
      </w:r>
      <w:r>
        <w:rPr>
          <w:rFonts w:ascii="Times New Roman" w:eastAsia="等线" w:hAnsi="Times New Roman" w:cs="Times New Roman" w:hint="eastAsia"/>
          <w:sz w:val="24"/>
          <w:szCs w:val="24"/>
        </w:rPr>
        <w:t>,000</w:t>
      </w:r>
      <w:r>
        <w:rPr>
          <w:rFonts w:ascii="Times New Roman" w:eastAsia="等线" w:hAnsi="Times New Roman" w:cs="Times New Roman"/>
          <w:sz w:val="24"/>
          <w:szCs w:val="24"/>
        </w:rPr>
        <w:t xml:space="preserve"> and 1 million yuan</w:t>
      </w:r>
      <w:r>
        <w:rPr>
          <w:rFonts w:ascii="Times New Roman" w:eastAsia="等线" w:hAnsi="Times New Roman" w:cs="Times New Roman" w:hint="eastAsia"/>
          <w:sz w:val="24"/>
          <w:szCs w:val="24"/>
        </w:rPr>
        <w:t>.</w:t>
      </w:r>
      <w:bookmarkStart w:id="0" w:name="_GoBack"/>
      <w:bookmarkEnd w:id="0"/>
      <w:r w:rsidR="00182254">
        <w:rPr>
          <w:rFonts w:ascii="Times New Roman" w:eastAsia="等线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等线" w:hAnsi="Times New Roman" w:cs="Times New Roman" w:hint="eastAsia"/>
          <w:sz w:val="24"/>
          <w:szCs w:val="24"/>
        </w:rPr>
        <w:t>Annual interest rate ranges from 4% to 1</w:t>
      </w:r>
      <w:r w:rsidR="00B272B0">
        <w:rPr>
          <w:rFonts w:ascii="Times New Roman" w:eastAsia="等线" w:hAnsi="Times New Roman" w:cs="Times New Roman" w:hint="eastAsia"/>
          <w:sz w:val="24"/>
          <w:szCs w:val="24"/>
        </w:rPr>
        <w:t>5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% </w:t>
      </w:r>
      <w:r>
        <w:rPr>
          <w:rFonts w:ascii="Times New Roman" w:eastAsia="等线" w:hAnsi="Times New Roman" w:cs="Times New Roman"/>
          <w:sz w:val="24"/>
          <w:szCs w:val="24"/>
        </w:rPr>
        <w:t>and the term is 1 year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. Appendix 1, Appendix 2 and Appendix 3 provide the relevant data of 123 enterprises with credit records, </w:t>
      </w:r>
      <w:r>
        <w:rPr>
          <w:rFonts w:ascii="Times New Roman" w:eastAsia="等线" w:hAnsi="Times New Roman" w:cs="Times New Roman"/>
          <w:sz w:val="24"/>
          <w:szCs w:val="24"/>
        </w:rPr>
        <w:t xml:space="preserve">the relevant data of 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302 enterprises without credit records, and the statistical data of the relationship between </w:t>
      </w:r>
      <w:r>
        <w:rPr>
          <w:rFonts w:ascii="Times New Roman" w:eastAsia="等线" w:hAnsi="Times New Roman" w:cs="Times New Roman"/>
          <w:sz w:val="24"/>
          <w:szCs w:val="24"/>
        </w:rPr>
        <w:t>the annual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 interest rate and </w:t>
      </w:r>
      <w:r>
        <w:rPr>
          <w:rFonts w:ascii="Times New Roman" w:eastAsia="等线" w:hAnsi="Times New Roman" w:cs="Times New Roman"/>
          <w:sz w:val="24"/>
          <w:szCs w:val="24"/>
        </w:rPr>
        <w:t xml:space="preserve">the </w:t>
      </w:r>
      <w:r>
        <w:rPr>
          <w:rFonts w:ascii="Times New Roman" w:eastAsia="等线" w:hAnsi="Times New Roman" w:cs="Times New Roman" w:hint="eastAsia"/>
          <w:sz w:val="24"/>
          <w:szCs w:val="24"/>
        </w:rPr>
        <w:t>customer churn rate in 2019</w:t>
      </w:r>
      <w:r>
        <w:rPr>
          <w:rFonts w:ascii="Times New Roman" w:eastAsia="等线" w:hAnsi="Times New Roman" w:cs="Times New Roman"/>
          <w:sz w:val="24"/>
          <w:szCs w:val="24"/>
        </w:rPr>
        <w:t>, respectively</w:t>
      </w:r>
      <w:r>
        <w:rPr>
          <w:rFonts w:ascii="Times New Roman" w:eastAsia="等线" w:hAnsi="Times New Roman" w:cs="Times New Roman" w:hint="eastAsia"/>
          <w:sz w:val="24"/>
          <w:szCs w:val="24"/>
        </w:rPr>
        <w:t>. According to the actual situation and the data information in the Appendices, t</w:t>
      </w:r>
      <w:r>
        <w:rPr>
          <w:rFonts w:ascii="Times New Roman" w:eastAsia="等线" w:hAnsi="Times New Roman" w:cs="Times New Roman"/>
          <w:sz w:val="24"/>
          <w:szCs w:val="24"/>
        </w:rPr>
        <w:t xml:space="preserve">he bank asked your team to develop a mathematical model to study the credit strategies for MSMEs and to 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mainly </w:t>
      </w:r>
      <w:r>
        <w:rPr>
          <w:rFonts w:ascii="Times New Roman" w:eastAsia="等线" w:hAnsi="Times New Roman" w:cs="Times New Roman"/>
          <w:sz w:val="24"/>
          <w:szCs w:val="24"/>
        </w:rPr>
        <w:t>address the following questions:</w:t>
      </w:r>
    </w:p>
    <w:p w:rsidR="006B4363" w:rsidRPr="006B4363" w:rsidRDefault="006B4363" w:rsidP="006B4363">
      <w:pPr>
        <w:tabs>
          <w:tab w:val="left" w:pos="433"/>
        </w:tabs>
        <w:autoSpaceDE w:val="0"/>
        <w:autoSpaceDN w:val="0"/>
        <w:spacing w:before="89"/>
        <w:ind w:right="115"/>
        <w:rPr>
          <w:rFonts w:ascii="Times New Roman" w:eastAsia="等线" w:hAnsi="Times New Roman" w:cs="Times New Roman"/>
          <w:kern w:val="0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US" w:bidi="en-US"/>
        </w:rPr>
        <w:t xml:space="preserve">1. </w:t>
      </w:r>
      <w:r>
        <w:rPr>
          <w:rFonts w:ascii="Times New Roman" w:eastAsia="等线" w:hAnsi="Times New Roman" w:cs="Times New Roman"/>
          <w:kern w:val="0"/>
          <w:sz w:val="24"/>
          <w:szCs w:val="24"/>
          <w:lang w:eastAsia="en-US" w:bidi="en-US"/>
        </w:rPr>
        <w:t xml:space="preserve">Try to quantify the credit risk of each enterprise 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  <w:lang w:bidi="en-US"/>
        </w:rPr>
        <w:t>contained in Appendix 1</w:t>
      </w:r>
      <w:r>
        <w:rPr>
          <w:rFonts w:ascii="Times New Roman" w:eastAsia="等线" w:hAnsi="Times New Roman" w:cs="Times New Roman"/>
          <w:kern w:val="0"/>
          <w:sz w:val="24"/>
          <w:szCs w:val="24"/>
          <w:lang w:eastAsia="en-US" w:bidi="en-US"/>
        </w:rPr>
        <w:t xml:space="preserve"> and give 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  <w:lang w:eastAsia="en-US" w:bidi="en-US"/>
        </w:rPr>
        <w:t>the</w:t>
      </w:r>
      <w:r>
        <w:rPr>
          <w:rFonts w:ascii="Times New Roman" w:eastAsia="等线" w:hAnsi="Times New Roman" w:cs="Times New Roman"/>
          <w:kern w:val="0"/>
          <w:sz w:val="24"/>
          <w:szCs w:val="24"/>
          <w:lang w:eastAsia="en-US" w:bidi="en-US"/>
        </w:rPr>
        <w:t xml:space="preserve"> credit strategy 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  <w:lang w:eastAsia="en-US" w:bidi="en-US"/>
        </w:rPr>
        <w:t>for</w:t>
      </w:r>
      <w:r>
        <w:rPr>
          <w:rFonts w:ascii="Times New Roman" w:eastAsia="等线" w:hAnsi="Times New Roman" w:cs="Times New Roman"/>
          <w:kern w:val="0"/>
          <w:sz w:val="24"/>
          <w:szCs w:val="24"/>
          <w:lang w:eastAsia="en-US" w:bidi="en-US"/>
        </w:rPr>
        <w:t xml:space="preserve"> the bank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  <w:lang w:eastAsia="en-US" w:bidi="en-US"/>
        </w:rPr>
        <w:t xml:space="preserve"> when the total amount of annual credit is fixed.</w:t>
      </w:r>
    </w:p>
    <w:p w:rsidR="006B4363" w:rsidRDefault="006B4363" w:rsidP="006B4363">
      <w:pPr>
        <w:tabs>
          <w:tab w:val="left" w:pos="433"/>
        </w:tabs>
        <w:autoSpaceDE w:val="0"/>
        <w:autoSpaceDN w:val="0"/>
        <w:spacing w:before="89"/>
        <w:ind w:right="115"/>
        <w:rPr>
          <w:rFonts w:ascii="Times New Roman" w:eastAsia="等线" w:hAnsi="Times New Roman" w:cs="Times New Roman"/>
          <w:sz w:val="24"/>
          <w:szCs w:val="24"/>
        </w:rPr>
      </w:pPr>
      <w:r>
        <w:rPr>
          <w:rFonts w:ascii="Times New Roman" w:eastAsia="等线" w:hAnsi="Times New Roman" w:cs="Times New Roman"/>
          <w:sz w:val="24"/>
          <w:szCs w:val="24"/>
        </w:rPr>
        <w:t xml:space="preserve">2. </w:t>
      </w:r>
      <w:r>
        <w:rPr>
          <w:rFonts w:ascii="Times New Roman" w:eastAsia="等线" w:hAnsi="Times New Roman" w:cs="Times New Roman" w:hint="eastAsia"/>
          <w:sz w:val="24"/>
          <w:szCs w:val="24"/>
        </w:rPr>
        <w:t>On the basis of question 1, t</w:t>
      </w:r>
      <w:r>
        <w:rPr>
          <w:rFonts w:ascii="Times New Roman" w:eastAsia="等线" w:hAnsi="Times New Roman" w:cs="Times New Roman"/>
          <w:sz w:val="24"/>
          <w:szCs w:val="24"/>
        </w:rPr>
        <w:t xml:space="preserve">ry to </w:t>
      </w:r>
      <w:r>
        <w:rPr>
          <w:rFonts w:ascii="Times New Roman" w:eastAsia="等线" w:hAnsi="Times New Roman" w:cs="Times New Roman"/>
          <w:kern w:val="0"/>
          <w:sz w:val="24"/>
          <w:szCs w:val="24"/>
          <w:lang w:eastAsia="en-US" w:bidi="en-US"/>
        </w:rPr>
        <w:t>quantify</w:t>
      </w:r>
      <w:r>
        <w:rPr>
          <w:rFonts w:ascii="Times New Roman" w:eastAsia="等线" w:hAnsi="Times New Roman" w:cs="Times New Roman"/>
          <w:sz w:val="24"/>
          <w:szCs w:val="24"/>
        </w:rPr>
        <w:t xml:space="preserve"> the credit risk of 302 enterprises 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  <w:lang w:bidi="en-US"/>
        </w:rPr>
        <w:t>contained in Appendix 2</w:t>
      </w:r>
      <w:r w:rsidR="00A22EC3">
        <w:rPr>
          <w:rFonts w:ascii="Times New Roman" w:eastAsia="等线" w:hAnsi="Times New Roman" w:cs="Times New Roman" w:hint="eastAsia"/>
          <w:kern w:val="0"/>
          <w:sz w:val="24"/>
          <w:szCs w:val="24"/>
          <w:lang w:bidi="en-US"/>
        </w:rPr>
        <w:t xml:space="preserve"> </w:t>
      </w:r>
      <w:r>
        <w:rPr>
          <w:rFonts w:ascii="Times New Roman" w:eastAsia="等线" w:hAnsi="Times New Roman" w:cs="Times New Roman"/>
          <w:kern w:val="0"/>
          <w:sz w:val="24"/>
          <w:szCs w:val="24"/>
          <w:lang w:eastAsia="en-US" w:bidi="en-US"/>
        </w:rPr>
        <w:t xml:space="preserve">and give 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  <w:lang w:eastAsia="en-US" w:bidi="en-US"/>
        </w:rPr>
        <w:t>the</w:t>
      </w:r>
      <w:r>
        <w:rPr>
          <w:rFonts w:ascii="Times New Roman" w:eastAsia="等线" w:hAnsi="Times New Roman" w:cs="Times New Roman"/>
          <w:kern w:val="0"/>
          <w:sz w:val="24"/>
          <w:szCs w:val="24"/>
          <w:lang w:eastAsia="en-US" w:bidi="en-US"/>
        </w:rPr>
        <w:t xml:space="preserve"> credit strategy 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  <w:lang w:eastAsia="en-US" w:bidi="en-US"/>
        </w:rPr>
        <w:t>for</w:t>
      </w:r>
      <w:r>
        <w:rPr>
          <w:rFonts w:ascii="Times New Roman" w:eastAsia="等线" w:hAnsi="Times New Roman" w:cs="Times New Roman"/>
          <w:kern w:val="0"/>
          <w:sz w:val="24"/>
          <w:szCs w:val="24"/>
          <w:lang w:eastAsia="en-US" w:bidi="en-US"/>
        </w:rPr>
        <w:t xml:space="preserve"> the bank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  <w:lang w:eastAsia="en-US" w:bidi="en-US"/>
        </w:rPr>
        <w:t xml:space="preserve"> when the total amount of annual credit is 100 million yuan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  <w:lang w:bidi="en-US"/>
        </w:rPr>
        <w:t>.</w:t>
      </w:r>
    </w:p>
    <w:p w:rsidR="006B4363" w:rsidRPr="003A0A19" w:rsidRDefault="006B4363" w:rsidP="006B4363">
      <w:pPr>
        <w:tabs>
          <w:tab w:val="left" w:pos="433"/>
        </w:tabs>
        <w:autoSpaceDE w:val="0"/>
        <w:autoSpaceDN w:val="0"/>
        <w:spacing w:before="89"/>
        <w:ind w:right="115"/>
        <w:rPr>
          <w:rFonts w:ascii="Times New Roman" w:eastAsia="等线" w:hAnsi="Times New Roman" w:cs="Times New Roman"/>
          <w:kern w:val="0"/>
          <w:sz w:val="24"/>
          <w:szCs w:val="24"/>
          <w:lang w:eastAsia="en-US" w:bidi="en-US"/>
        </w:rPr>
      </w:pPr>
      <w:r>
        <w:rPr>
          <w:rFonts w:ascii="Times New Roman" w:eastAsia="等线" w:hAnsi="Times New Roman" w:cs="Times New Roman" w:hint="eastAsia"/>
          <w:sz w:val="24"/>
          <w:szCs w:val="24"/>
        </w:rPr>
        <w:t>3</w:t>
      </w:r>
      <w:r>
        <w:rPr>
          <w:rFonts w:ascii="Times New Roman" w:eastAsia="等线" w:hAnsi="Times New Roman" w:cs="Times New Roman"/>
          <w:sz w:val="24"/>
          <w:szCs w:val="24"/>
        </w:rPr>
        <w:t xml:space="preserve">. </w:t>
      </w:r>
      <w:r w:rsidRPr="00D45437">
        <w:rPr>
          <w:rFonts w:ascii="Times New Roman" w:eastAsia="等线" w:hAnsi="Times New Roman" w:cs="Times New Roman" w:hint="eastAsia"/>
          <w:sz w:val="24"/>
          <w:szCs w:val="24"/>
        </w:rPr>
        <w:t>T</w:t>
      </w:r>
      <w:r w:rsidRPr="00D45437">
        <w:rPr>
          <w:rFonts w:ascii="Times New Roman" w:eastAsia="等线" w:hAnsi="Times New Roman" w:cs="Times New Roman"/>
          <w:sz w:val="24"/>
          <w:szCs w:val="24"/>
        </w:rPr>
        <w:t>he production, operation</w:t>
      </w:r>
      <w:r>
        <w:rPr>
          <w:rFonts w:ascii="Times New Roman" w:eastAsia="等线" w:hAnsi="Times New Roman" w:cs="Times New Roman"/>
          <w:sz w:val="24"/>
          <w:szCs w:val="24"/>
        </w:rPr>
        <w:t xml:space="preserve"> and the economic benefits of the enterprise may be affected by some uncertain factors. Those factors often </w:t>
      </w:r>
      <w:r>
        <w:rPr>
          <w:rFonts w:ascii="Times New Roman" w:eastAsia="等线" w:hAnsi="Times New Roman" w:cs="Times New Roman" w:hint="eastAsia"/>
          <w:sz w:val="24"/>
          <w:szCs w:val="24"/>
        </w:rPr>
        <w:t>have different impacts on different industries and different types of enterprises.</w:t>
      </w:r>
      <w:r>
        <w:rPr>
          <w:rFonts w:ascii="Times New Roman" w:eastAsia="等线" w:hAnsi="Times New Roman" w:cs="Times New Roman"/>
          <w:sz w:val="24"/>
          <w:szCs w:val="24"/>
        </w:rPr>
        <w:t xml:space="preserve"> Comprehensively consider</w:t>
      </w:r>
      <w:r>
        <w:rPr>
          <w:rFonts w:ascii="Times New Roman" w:eastAsia="等线" w:hAnsi="Times New Roman" w:cs="Times New Roman" w:hint="eastAsia"/>
          <w:sz w:val="24"/>
          <w:szCs w:val="24"/>
        </w:rPr>
        <w:t>ing</w:t>
      </w:r>
      <w:r>
        <w:rPr>
          <w:rFonts w:ascii="Times New Roman" w:eastAsia="等线" w:hAnsi="Times New Roman" w:cs="Times New Roman"/>
          <w:sz w:val="24"/>
          <w:szCs w:val="24"/>
        </w:rPr>
        <w:t xml:space="preserve"> the </w:t>
      </w:r>
      <w:r>
        <w:rPr>
          <w:rFonts w:ascii="Times New Roman" w:eastAsia="等线" w:hAnsi="Times New Roman" w:cs="Times New Roman" w:hint="eastAsia"/>
          <w:sz w:val="24"/>
          <w:szCs w:val="24"/>
        </w:rPr>
        <w:t>credit risk</w:t>
      </w:r>
      <w:r>
        <w:rPr>
          <w:rFonts w:ascii="Times New Roman" w:eastAsia="等线" w:hAnsi="Times New Roman" w:cs="Times New Roman"/>
          <w:sz w:val="24"/>
          <w:szCs w:val="24"/>
        </w:rPr>
        <w:t xml:space="preserve"> of each enterprise in Appendix 2 and </w:t>
      </w:r>
      <w:r>
        <w:rPr>
          <w:rFonts w:ascii="Times New Roman" w:eastAsia="等线" w:hAnsi="Times New Roman" w:cs="Times New Roman" w:hint="eastAsia"/>
          <w:sz w:val="24"/>
          <w:szCs w:val="24"/>
        </w:rPr>
        <w:t xml:space="preserve">the impact of possible unexpected factors (such as 2019-nCoV and other events) on the enterprises, try to </w:t>
      </w:r>
      <w:r w:rsidRPr="003A0A19">
        <w:rPr>
          <w:rFonts w:ascii="Times New Roman" w:eastAsia="等线" w:hAnsi="Times New Roman" w:cs="Times New Roman"/>
          <w:kern w:val="0"/>
          <w:sz w:val="24"/>
          <w:szCs w:val="24"/>
          <w:lang w:eastAsia="en-US" w:bidi="en-US"/>
        </w:rPr>
        <w:t xml:space="preserve">give the credit adjustment strategy for the bank 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  <w:lang w:eastAsia="en-US" w:bidi="en-US"/>
        </w:rPr>
        <w:t>when the total amount of annual credit is 100 million yuan.</w:t>
      </w:r>
    </w:p>
    <w:p w:rsidR="006B4363" w:rsidRDefault="006B4363" w:rsidP="006B4363">
      <w:pPr>
        <w:rPr>
          <w:rFonts w:ascii="Times New Roman" w:eastAsia="等线" w:hAnsi="Times New Roman" w:cs="Times New Roman"/>
          <w:sz w:val="24"/>
          <w:szCs w:val="24"/>
        </w:rPr>
      </w:pPr>
    </w:p>
    <w:p w:rsidR="006B4363" w:rsidRDefault="006B4363" w:rsidP="006B4363">
      <w:pPr>
        <w:autoSpaceDE w:val="0"/>
        <w:autoSpaceDN w:val="0"/>
        <w:jc w:val="left"/>
        <w:rPr>
          <w:rFonts w:ascii="Times New Roman" w:eastAsia="等线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 w:bidi="en-US"/>
        </w:rPr>
        <w:t>Appendix 1:</w:t>
      </w:r>
      <w:r w:rsidR="009F6FD2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bidi="en-US"/>
        </w:rPr>
        <w:t xml:space="preserve">  </w:t>
      </w:r>
      <w:r>
        <w:rPr>
          <w:rFonts w:ascii="Times New Roman" w:eastAsia="等线" w:hAnsi="Times New Roman" w:cs="Times New Roman"/>
          <w:sz w:val="24"/>
          <w:szCs w:val="24"/>
        </w:rPr>
        <w:t>The relevant data of 123 enterprises with credit records.</w:t>
      </w:r>
    </w:p>
    <w:p w:rsidR="006B4363" w:rsidRDefault="006B4363" w:rsidP="006B4363">
      <w:pPr>
        <w:autoSpaceDE w:val="0"/>
        <w:autoSpaceDN w:val="0"/>
        <w:jc w:val="left"/>
        <w:rPr>
          <w:rFonts w:ascii="Times New Roman" w:eastAsia="等线" w:hAnsi="Times New Roman" w:cs="Times New Roman"/>
          <w:sz w:val="24"/>
          <w:szCs w:val="24"/>
        </w:rPr>
      </w:pPr>
      <w:r>
        <w:rPr>
          <w:rFonts w:ascii="Times New Roman" w:eastAsia="等线" w:hAnsi="Times New Roman" w:cs="Times New Roman"/>
          <w:b/>
          <w:bCs/>
          <w:sz w:val="24"/>
          <w:szCs w:val="24"/>
        </w:rPr>
        <w:t xml:space="preserve">Appendix 2: </w:t>
      </w:r>
      <w:r w:rsidR="009F6FD2">
        <w:rPr>
          <w:rFonts w:ascii="Times New Roman" w:eastAsia="等线" w:hAnsi="Times New Roman" w:cs="Times New Roman" w:hint="eastAsia"/>
          <w:b/>
          <w:bCs/>
          <w:sz w:val="24"/>
          <w:szCs w:val="24"/>
        </w:rPr>
        <w:t xml:space="preserve"> </w:t>
      </w:r>
      <w:r>
        <w:rPr>
          <w:rFonts w:ascii="Times New Roman" w:eastAsia="等线" w:hAnsi="Times New Roman" w:cs="Times New Roman"/>
          <w:sz w:val="24"/>
          <w:szCs w:val="24"/>
        </w:rPr>
        <w:t>The relevant data of 302 enterprises with no credit records.</w:t>
      </w:r>
    </w:p>
    <w:p w:rsidR="006B4363" w:rsidRPr="006B4363" w:rsidRDefault="006B4363" w:rsidP="006B4363">
      <w:pPr>
        <w:autoSpaceDE w:val="0"/>
        <w:autoSpaceDN w:val="0"/>
        <w:jc w:val="left"/>
        <w:rPr>
          <w:rFonts w:ascii="Times New Roman" w:eastAsia="等线" w:hAnsi="Times New Roman" w:cs="Times New Roman"/>
          <w:sz w:val="24"/>
          <w:szCs w:val="24"/>
        </w:rPr>
      </w:pPr>
      <w:r>
        <w:rPr>
          <w:rFonts w:ascii="Times New Roman" w:eastAsia="等线" w:hAnsi="Times New Roman" w:cs="Times New Roman"/>
          <w:b/>
          <w:bCs/>
          <w:sz w:val="24"/>
          <w:szCs w:val="24"/>
        </w:rPr>
        <w:t xml:space="preserve">Appendix 3: </w:t>
      </w:r>
      <w:r w:rsidR="009F6FD2">
        <w:rPr>
          <w:rFonts w:ascii="Times New Roman" w:eastAsia="等线" w:hAnsi="Times New Roman" w:cs="Times New Roman" w:hint="eastAsia"/>
          <w:b/>
          <w:bCs/>
          <w:sz w:val="24"/>
          <w:szCs w:val="24"/>
        </w:rPr>
        <w:t xml:space="preserve"> </w:t>
      </w:r>
      <w:r>
        <w:rPr>
          <w:rFonts w:ascii="Times New Roman" w:eastAsia="等线" w:hAnsi="Times New Roman" w:cs="Times New Roman"/>
          <w:sz w:val="24"/>
          <w:szCs w:val="24"/>
        </w:rPr>
        <w:t>The statistics on the relationship between annual interest rate of bank loans and customer churn rate.</w:t>
      </w:r>
    </w:p>
    <w:p w:rsidR="006B4363" w:rsidRDefault="006B4363" w:rsidP="006B4363">
      <w:pPr>
        <w:autoSpaceDE w:val="0"/>
        <w:autoSpaceDN w:val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Notes of appendix data:</w:t>
      </w:r>
    </w:p>
    <w:p w:rsidR="006B4363" w:rsidRPr="006B4363" w:rsidRDefault="006B4363" w:rsidP="006B4363">
      <w:pPr>
        <w:pStyle w:val="a9"/>
        <w:numPr>
          <w:ilvl w:val="0"/>
          <w:numId w:val="7"/>
        </w:numPr>
        <w:autoSpaceDE w:val="0"/>
        <w:autoSpaceDN w:val="0"/>
        <w:ind w:firstLineChars="0"/>
        <w:jc w:val="left"/>
        <w:rPr>
          <w:rFonts w:ascii="Times New Roman" w:hAnsi="Times New Roman" w:cs="Times New Roman"/>
          <w:szCs w:val="21"/>
        </w:rPr>
      </w:pPr>
      <w:r w:rsidRPr="006B4363">
        <w:rPr>
          <w:rFonts w:ascii="Times New Roman" w:hAnsi="Times New Roman" w:cs="Times New Roman" w:hint="eastAsia"/>
          <w:szCs w:val="21"/>
        </w:rPr>
        <w:t>purchaser invoice</w:t>
      </w:r>
      <w:r w:rsidRPr="006B4363">
        <w:rPr>
          <w:rFonts w:ascii="Times New Roman" w:hAnsi="Times New Roman" w:cs="Times New Roman" w:hint="eastAsia"/>
          <w:szCs w:val="21"/>
        </w:rPr>
        <w:t>：</w:t>
      </w:r>
      <w:r w:rsidRPr="006B4363">
        <w:rPr>
          <w:rFonts w:ascii="Times New Roman" w:hAnsi="Times New Roman" w:cs="Times New Roman" w:hint="eastAsia"/>
          <w:szCs w:val="21"/>
        </w:rPr>
        <w:t>t</w:t>
      </w:r>
      <w:r w:rsidRPr="006B4363">
        <w:rPr>
          <w:rFonts w:ascii="Times New Roman" w:hAnsi="Times New Roman" w:cs="Times New Roman"/>
          <w:szCs w:val="21"/>
        </w:rPr>
        <w:t xml:space="preserve">he </w:t>
      </w:r>
      <w:r w:rsidRPr="006B4363">
        <w:rPr>
          <w:rFonts w:ascii="Times New Roman" w:hAnsi="Times New Roman" w:cs="Times New Roman" w:hint="eastAsia"/>
          <w:szCs w:val="21"/>
        </w:rPr>
        <w:t>invoice issued by the seller when the enterprise stocks (purchases products).</w:t>
      </w:r>
    </w:p>
    <w:p w:rsidR="006B4363" w:rsidRPr="006B4363" w:rsidRDefault="00F051BA" w:rsidP="006B4363">
      <w:pPr>
        <w:pStyle w:val="a9"/>
        <w:numPr>
          <w:ilvl w:val="0"/>
          <w:numId w:val="7"/>
        </w:numPr>
        <w:autoSpaceDE w:val="0"/>
        <w:autoSpaceDN w:val="0"/>
        <w:ind w:firstLineChars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seller</w:t>
      </w:r>
      <w:r w:rsidR="006B4363" w:rsidRPr="006B4363">
        <w:rPr>
          <w:rFonts w:ascii="Times New Roman" w:hAnsi="Times New Roman" w:cs="Times New Roman" w:hint="eastAsia"/>
          <w:szCs w:val="21"/>
        </w:rPr>
        <w:t xml:space="preserve"> invoice</w:t>
      </w:r>
      <w:r w:rsidR="006B4363" w:rsidRPr="006B4363">
        <w:rPr>
          <w:rFonts w:ascii="Times New Roman" w:hAnsi="Times New Roman" w:cs="Times New Roman" w:hint="eastAsia"/>
          <w:szCs w:val="21"/>
        </w:rPr>
        <w:t>：</w:t>
      </w:r>
      <w:r w:rsidR="006B4363" w:rsidRPr="006B4363">
        <w:rPr>
          <w:rFonts w:ascii="Times New Roman" w:hAnsi="Times New Roman" w:cs="Times New Roman" w:hint="eastAsia"/>
          <w:szCs w:val="21"/>
        </w:rPr>
        <w:t>t</w:t>
      </w:r>
      <w:r w:rsidR="006B4363" w:rsidRPr="006B4363">
        <w:rPr>
          <w:rFonts w:ascii="Times New Roman" w:hAnsi="Times New Roman" w:cs="Times New Roman"/>
          <w:szCs w:val="21"/>
        </w:rPr>
        <w:t xml:space="preserve">he </w:t>
      </w:r>
      <w:r w:rsidR="006B4363" w:rsidRPr="006B4363">
        <w:rPr>
          <w:rFonts w:ascii="Times New Roman" w:hAnsi="Times New Roman" w:cs="Times New Roman" w:hint="eastAsia"/>
          <w:szCs w:val="21"/>
        </w:rPr>
        <w:t>invoice issued by the enterprise for the purchaser when selling.</w:t>
      </w:r>
    </w:p>
    <w:p w:rsidR="006B4363" w:rsidRPr="006B4363" w:rsidRDefault="006B4363" w:rsidP="006B4363">
      <w:pPr>
        <w:pStyle w:val="a9"/>
        <w:numPr>
          <w:ilvl w:val="0"/>
          <w:numId w:val="7"/>
        </w:numPr>
        <w:autoSpaceDE w:val="0"/>
        <w:autoSpaceDN w:val="0"/>
        <w:ind w:firstLineChars="0"/>
        <w:jc w:val="left"/>
        <w:rPr>
          <w:rFonts w:ascii="Times New Roman" w:hAnsi="Times New Roman" w:cs="Times New Roman"/>
          <w:szCs w:val="21"/>
        </w:rPr>
      </w:pPr>
      <w:r w:rsidRPr="006B4363">
        <w:rPr>
          <w:rFonts w:ascii="Times New Roman" w:hAnsi="Times New Roman" w:cs="Times New Roman" w:hint="eastAsia"/>
          <w:szCs w:val="21"/>
        </w:rPr>
        <w:t>valid invoice</w:t>
      </w:r>
      <w:r w:rsidRPr="006B4363">
        <w:rPr>
          <w:rFonts w:ascii="Times New Roman" w:hAnsi="Times New Roman" w:cs="Times New Roman" w:hint="eastAsia"/>
          <w:szCs w:val="21"/>
        </w:rPr>
        <w:t>：</w:t>
      </w:r>
      <w:r w:rsidRPr="006B4363">
        <w:rPr>
          <w:rFonts w:ascii="Times New Roman" w:hAnsi="Times New Roman" w:cs="Times New Roman" w:hint="eastAsia"/>
          <w:szCs w:val="21"/>
        </w:rPr>
        <w:t>t</w:t>
      </w:r>
      <w:r w:rsidRPr="006B4363">
        <w:rPr>
          <w:rFonts w:ascii="Times New Roman" w:hAnsi="Times New Roman" w:cs="Times New Roman"/>
          <w:szCs w:val="21"/>
        </w:rPr>
        <w:t xml:space="preserve">he </w:t>
      </w:r>
      <w:r w:rsidRPr="006B4363">
        <w:rPr>
          <w:rFonts w:ascii="Times New Roman" w:hAnsi="Times New Roman" w:cs="Times New Roman" w:hint="eastAsia"/>
          <w:szCs w:val="21"/>
        </w:rPr>
        <w:t>invoice for normal trading activity.</w:t>
      </w:r>
    </w:p>
    <w:p w:rsidR="006B4363" w:rsidRPr="006B4363" w:rsidRDefault="006B4363" w:rsidP="006B4363">
      <w:pPr>
        <w:pStyle w:val="a9"/>
        <w:numPr>
          <w:ilvl w:val="0"/>
          <w:numId w:val="7"/>
        </w:numPr>
        <w:autoSpaceDE w:val="0"/>
        <w:autoSpaceDN w:val="0"/>
        <w:ind w:firstLineChars="0"/>
        <w:jc w:val="left"/>
        <w:rPr>
          <w:rFonts w:ascii="Times New Roman" w:hAnsi="Times New Roman" w:cs="Times New Roman"/>
          <w:szCs w:val="21"/>
        </w:rPr>
      </w:pPr>
      <w:r w:rsidRPr="006B4363">
        <w:rPr>
          <w:rFonts w:ascii="Times New Roman" w:hAnsi="Times New Roman" w:cs="Times New Roman" w:hint="eastAsia"/>
          <w:szCs w:val="21"/>
        </w:rPr>
        <w:t>invalid invoice</w:t>
      </w:r>
      <w:r w:rsidRPr="006B4363">
        <w:rPr>
          <w:rFonts w:ascii="Times New Roman" w:hAnsi="Times New Roman" w:cs="Times New Roman" w:hint="eastAsia"/>
          <w:szCs w:val="21"/>
        </w:rPr>
        <w:t>：</w:t>
      </w:r>
      <w:r w:rsidRPr="006B4363">
        <w:rPr>
          <w:rFonts w:ascii="Times New Roman" w:hAnsi="Times New Roman" w:cs="Times New Roman" w:hint="eastAsia"/>
          <w:szCs w:val="21"/>
        </w:rPr>
        <w:t>disable the invoice for the cancel of trading activity.</w:t>
      </w:r>
    </w:p>
    <w:p w:rsidR="006B4363" w:rsidRPr="006B4363" w:rsidRDefault="006B4363" w:rsidP="006B4363">
      <w:pPr>
        <w:pStyle w:val="a9"/>
        <w:numPr>
          <w:ilvl w:val="0"/>
          <w:numId w:val="7"/>
        </w:numPr>
        <w:autoSpaceDE w:val="0"/>
        <w:autoSpaceDN w:val="0"/>
        <w:ind w:firstLineChars="0"/>
        <w:jc w:val="left"/>
        <w:rPr>
          <w:rFonts w:ascii="Times New Roman" w:hAnsi="Times New Roman" w:cs="Times New Roman"/>
          <w:szCs w:val="21"/>
        </w:rPr>
      </w:pPr>
      <w:r w:rsidRPr="006B4363">
        <w:rPr>
          <w:rFonts w:ascii="Times New Roman" w:hAnsi="Times New Roman" w:cs="Times New Roman" w:hint="eastAsia"/>
          <w:szCs w:val="21"/>
        </w:rPr>
        <w:t>negative invoice</w:t>
      </w:r>
      <w:r w:rsidRPr="006B4363">
        <w:rPr>
          <w:rFonts w:ascii="Times New Roman" w:hAnsi="Times New Roman" w:cs="Times New Roman" w:hint="eastAsia"/>
          <w:szCs w:val="21"/>
        </w:rPr>
        <w:t>：</w:t>
      </w:r>
      <w:r w:rsidRPr="006B4363">
        <w:rPr>
          <w:rFonts w:ascii="Times New Roman" w:hAnsi="Times New Roman" w:cs="Times New Roman" w:hint="eastAsia"/>
          <w:szCs w:val="21"/>
        </w:rPr>
        <w:t>After issuing an invoice, company has booked the tax. But the purchaser returns goods and gets refund. So company need</w:t>
      </w:r>
      <w:r w:rsidRPr="006B4363">
        <w:rPr>
          <w:rFonts w:ascii="Times New Roman" w:hAnsi="Times New Roman" w:cs="Times New Roman"/>
          <w:szCs w:val="21"/>
        </w:rPr>
        <w:t>s</w:t>
      </w:r>
      <w:r w:rsidRPr="006B4363">
        <w:rPr>
          <w:rFonts w:ascii="Times New Roman" w:hAnsi="Times New Roman" w:cs="Times New Roman" w:hint="eastAsia"/>
          <w:szCs w:val="21"/>
        </w:rPr>
        <w:t xml:space="preserve"> to issue a negative invoice.</w:t>
      </w:r>
    </w:p>
    <w:p w:rsidR="006B4363" w:rsidRPr="006B4363" w:rsidRDefault="006B4363" w:rsidP="006B4363">
      <w:pPr>
        <w:pStyle w:val="a9"/>
        <w:numPr>
          <w:ilvl w:val="0"/>
          <w:numId w:val="7"/>
        </w:numPr>
        <w:autoSpaceDE w:val="0"/>
        <w:autoSpaceDN w:val="0"/>
        <w:ind w:firstLineChars="0"/>
        <w:jc w:val="left"/>
        <w:rPr>
          <w:rFonts w:ascii="Times New Roman" w:hAnsi="Times New Roman" w:cs="Times New Roman"/>
          <w:szCs w:val="21"/>
        </w:rPr>
      </w:pPr>
      <w:r w:rsidRPr="006B4363">
        <w:rPr>
          <w:rFonts w:ascii="Times New Roman" w:hAnsi="Times New Roman" w:cs="Times New Roman" w:hint="eastAsia"/>
          <w:szCs w:val="21"/>
        </w:rPr>
        <w:t>c</w:t>
      </w:r>
      <w:r w:rsidRPr="006B4363">
        <w:rPr>
          <w:rFonts w:ascii="Times New Roman" w:hAnsi="Times New Roman" w:cs="Times New Roman"/>
          <w:szCs w:val="21"/>
        </w:rPr>
        <w:t>redit level</w:t>
      </w:r>
      <w:r w:rsidRPr="006B4363">
        <w:rPr>
          <w:rFonts w:ascii="Times New Roman" w:hAnsi="Times New Roman" w:cs="Times New Roman" w:hint="eastAsia"/>
          <w:szCs w:val="21"/>
        </w:rPr>
        <w:t>：</w:t>
      </w:r>
      <w:r w:rsidRPr="006B4363">
        <w:rPr>
          <w:rFonts w:ascii="Times New Roman" w:hAnsi="Times New Roman" w:cs="Times New Roman" w:hint="eastAsia"/>
          <w:szCs w:val="21"/>
        </w:rPr>
        <w:t>t</w:t>
      </w:r>
      <w:r w:rsidRPr="006B4363">
        <w:rPr>
          <w:rFonts w:ascii="Times New Roman" w:hAnsi="Times New Roman" w:cs="Times New Roman"/>
          <w:szCs w:val="21"/>
        </w:rPr>
        <w:t xml:space="preserve">he </w:t>
      </w:r>
      <w:r w:rsidRPr="006B4363">
        <w:rPr>
          <w:rFonts w:ascii="Times New Roman" w:hAnsi="Times New Roman" w:cs="Times New Roman" w:hint="eastAsia"/>
          <w:szCs w:val="21"/>
        </w:rPr>
        <w:t xml:space="preserve">level </w:t>
      </w:r>
      <w:r w:rsidRPr="006B4363">
        <w:rPr>
          <w:rFonts w:ascii="Times New Roman" w:hAnsi="Times New Roman" w:cs="Times New Roman"/>
          <w:szCs w:val="21"/>
        </w:rPr>
        <w:t xml:space="preserve">assessed by bank </w:t>
      </w:r>
      <w:r w:rsidR="000949ED">
        <w:rPr>
          <w:rFonts w:hint="eastAsia"/>
        </w:rPr>
        <w:t>b</w:t>
      </w:r>
      <w:r w:rsidR="000949ED" w:rsidRPr="00313D84">
        <w:rPr>
          <w:rFonts w:ascii="Times New Roman" w:hAnsi="Times New Roman" w:cs="Times New Roman"/>
          <w:sz w:val="24"/>
          <w:szCs w:val="24"/>
        </w:rPr>
        <w:t>ased on</w:t>
      </w:r>
      <w:r w:rsidRPr="006B4363">
        <w:rPr>
          <w:rFonts w:ascii="Times New Roman" w:hAnsi="Times New Roman" w:cs="Times New Roman"/>
          <w:szCs w:val="21"/>
        </w:rPr>
        <w:t xml:space="preserve"> company</w:t>
      </w:r>
      <w:r w:rsidR="009F6FD2">
        <w:rPr>
          <w:rFonts w:ascii="Times New Roman" w:hAnsi="Times New Roman" w:cs="Times New Roman" w:hint="eastAsia"/>
          <w:szCs w:val="21"/>
        </w:rPr>
        <w:t xml:space="preserve"> </w:t>
      </w:r>
      <w:r w:rsidR="000949ED" w:rsidRPr="00313D84">
        <w:rPr>
          <w:rFonts w:ascii="Times New Roman" w:hAnsi="Times New Roman" w:cs="Times New Roman"/>
          <w:sz w:val="24"/>
          <w:szCs w:val="24"/>
        </w:rPr>
        <w:t>situation artificially</w:t>
      </w:r>
      <w:r w:rsidRPr="006B4363">
        <w:rPr>
          <w:rFonts w:ascii="Times New Roman" w:hAnsi="Times New Roman" w:cs="Times New Roman"/>
          <w:szCs w:val="21"/>
        </w:rPr>
        <w:t xml:space="preserve">. Bank would not loan to the company whose credit level is D in principle. </w:t>
      </w:r>
    </w:p>
    <w:p w:rsidR="00C34DAA" w:rsidRPr="00524D35" w:rsidRDefault="006B4363" w:rsidP="00524D35">
      <w:pPr>
        <w:pStyle w:val="a9"/>
        <w:numPr>
          <w:ilvl w:val="0"/>
          <w:numId w:val="7"/>
        </w:numPr>
        <w:autoSpaceDE w:val="0"/>
        <w:autoSpaceDN w:val="0"/>
        <w:ind w:firstLineChars="0"/>
        <w:jc w:val="left"/>
        <w:rPr>
          <w:rFonts w:ascii="Times New Roman" w:hAnsi="Times New Roman" w:cs="Times New Roman"/>
          <w:szCs w:val="21"/>
        </w:rPr>
      </w:pPr>
      <w:r w:rsidRPr="006B4363">
        <w:rPr>
          <w:rFonts w:ascii="Times New Roman" w:hAnsi="Times New Roman" w:cs="Times New Roman" w:hint="eastAsia"/>
          <w:szCs w:val="21"/>
        </w:rPr>
        <w:t>churn rate of client</w:t>
      </w:r>
      <w:r w:rsidRPr="006B4363">
        <w:rPr>
          <w:rFonts w:ascii="Times New Roman" w:hAnsi="Times New Roman" w:cs="Times New Roman" w:hint="eastAsia"/>
          <w:szCs w:val="21"/>
        </w:rPr>
        <w:t>：</w:t>
      </w:r>
      <w:r w:rsidRPr="006B4363">
        <w:rPr>
          <w:rFonts w:ascii="Times New Roman" w:hAnsi="Times New Roman" w:cs="Times New Roman"/>
          <w:szCs w:val="21"/>
        </w:rPr>
        <w:t xml:space="preserve">The rate at which banks lose potential customers because of factors such as loan rates. </w:t>
      </w:r>
    </w:p>
    <w:sectPr w:rsidR="00C34DAA" w:rsidRPr="00524D35" w:rsidSect="001A64A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3D7" w:rsidRDefault="00A733D7" w:rsidP="00404FD3">
      <w:r>
        <w:separator/>
      </w:r>
    </w:p>
  </w:endnote>
  <w:endnote w:type="continuationSeparator" w:id="1">
    <w:p w:rsidR="00A733D7" w:rsidRDefault="00A733D7" w:rsidP="00404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3D7" w:rsidRDefault="00A733D7" w:rsidP="00404FD3">
      <w:r>
        <w:separator/>
      </w:r>
    </w:p>
  </w:footnote>
  <w:footnote w:type="continuationSeparator" w:id="1">
    <w:p w:rsidR="00A733D7" w:rsidRDefault="00A733D7" w:rsidP="00404F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C454E"/>
    <w:multiLevelType w:val="hybridMultilevel"/>
    <w:tmpl w:val="B162A18A"/>
    <w:lvl w:ilvl="0" w:tplc="3900FDB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068444B"/>
    <w:multiLevelType w:val="hybridMultilevel"/>
    <w:tmpl w:val="36CE03F6"/>
    <w:lvl w:ilvl="0" w:tplc="E8021FE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B07A0F"/>
    <w:multiLevelType w:val="hybridMultilevel"/>
    <w:tmpl w:val="DD02406C"/>
    <w:lvl w:ilvl="0" w:tplc="2B4C59A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5BB35D7"/>
    <w:multiLevelType w:val="hybridMultilevel"/>
    <w:tmpl w:val="D4C401E2"/>
    <w:lvl w:ilvl="0" w:tplc="7EA4D9BE">
      <w:start w:val="1"/>
      <w:numFmt w:val="decimal"/>
      <w:lvlText w:val="(%1)"/>
      <w:lvlJc w:val="left"/>
      <w:pPr>
        <w:ind w:left="360" w:hanging="360"/>
      </w:pPr>
      <w:rPr>
        <w:rFonts w:asciiTheme="minorHAnsi" w:hAnsiTheme="minorHAnsi" w:cstheme="minorBid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AFF0A80"/>
    <w:multiLevelType w:val="hybridMultilevel"/>
    <w:tmpl w:val="9C8A03A4"/>
    <w:lvl w:ilvl="0" w:tplc="D82221F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C066CEE"/>
    <w:multiLevelType w:val="multilevel"/>
    <w:tmpl w:val="63B6C074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9A695C"/>
    <w:multiLevelType w:val="hybridMultilevel"/>
    <w:tmpl w:val="08E8F808"/>
    <w:lvl w:ilvl="0" w:tplc="9CC6F49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5A20"/>
    <w:rsid w:val="0001318D"/>
    <w:rsid w:val="000417D6"/>
    <w:rsid w:val="00044478"/>
    <w:rsid w:val="0005085B"/>
    <w:rsid w:val="0005482D"/>
    <w:rsid w:val="000617EA"/>
    <w:rsid w:val="000949ED"/>
    <w:rsid w:val="000A0343"/>
    <w:rsid w:val="000A1B97"/>
    <w:rsid w:val="00126691"/>
    <w:rsid w:val="00144401"/>
    <w:rsid w:val="0018036A"/>
    <w:rsid w:val="00182254"/>
    <w:rsid w:val="0019261F"/>
    <w:rsid w:val="001A5DB0"/>
    <w:rsid w:val="001A64A8"/>
    <w:rsid w:val="001F00ED"/>
    <w:rsid w:val="001F1CA0"/>
    <w:rsid w:val="0021098B"/>
    <w:rsid w:val="00213BFE"/>
    <w:rsid w:val="0021722E"/>
    <w:rsid w:val="00224460"/>
    <w:rsid w:val="0024338B"/>
    <w:rsid w:val="00261AC7"/>
    <w:rsid w:val="00313D84"/>
    <w:rsid w:val="00317600"/>
    <w:rsid w:val="0033395E"/>
    <w:rsid w:val="00334EB3"/>
    <w:rsid w:val="0033644D"/>
    <w:rsid w:val="00367B43"/>
    <w:rsid w:val="003C7D65"/>
    <w:rsid w:val="003E167D"/>
    <w:rsid w:val="003F0BA5"/>
    <w:rsid w:val="004042F6"/>
    <w:rsid w:val="00404FD3"/>
    <w:rsid w:val="00511430"/>
    <w:rsid w:val="00514DA8"/>
    <w:rsid w:val="00524D35"/>
    <w:rsid w:val="005272F2"/>
    <w:rsid w:val="00547B6A"/>
    <w:rsid w:val="00554B60"/>
    <w:rsid w:val="00587AF8"/>
    <w:rsid w:val="005B17BA"/>
    <w:rsid w:val="005B20CF"/>
    <w:rsid w:val="005E7259"/>
    <w:rsid w:val="005F2490"/>
    <w:rsid w:val="00617684"/>
    <w:rsid w:val="00664935"/>
    <w:rsid w:val="00672877"/>
    <w:rsid w:val="00675B50"/>
    <w:rsid w:val="006B3636"/>
    <w:rsid w:val="006B4363"/>
    <w:rsid w:val="006E7C49"/>
    <w:rsid w:val="006F04F0"/>
    <w:rsid w:val="00701B80"/>
    <w:rsid w:val="00743FE5"/>
    <w:rsid w:val="00760CBF"/>
    <w:rsid w:val="00766DCA"/>
    <w:rsid w:val="00782840"/>
    <w:rsid w:val="007A12E1"/>
    <w:rsid w:val="008649DD"/>
    <w:rsid w:val="00883F0F"/>
    <w:rsid w:val="00890208"/>
    <w:rsid w:val="008920AB"/>
    <w:rsid w:val="008B743A"/>
    <w:rsid w:val="008D7460"/>
    <w:rsid w:val="008E6F3D"/>
    <w:rsid w:val="00903E17"/>
    <w:rsid w:val="00907970"/>
    <w:rsid w:val="009A4F41"/>
    <w:rsid w:val="009C48AD"/>
    <w:rsid w:val="009C57D8"/>
    <w:rsid w:val="009D1DBD"/>
    <w:rsid w:val="009F6FD2"/>
    <w:rsid w:val="00A22972"/>
    <w:rsid w:val="00A22EC3"/>
    <w:rsid w:val="00A33163"/>
    <w:rsid w:val="00A733D7"/>
    <w:rsid w:val="00AA30AF"/>
    <w:rsid w:val="00AA47AB"/>
    <w:rsid w:val="00AC1583"/>
    <w:rsid w:val="00AD0148"/>
    <w:rsid w:val="00AD21FE"/>
    <w:rsid w:val="00B07D67"/>
    <w:rsid w:val="00B15A20"/>
    <w:rsid w:val="00B272B0"/>
    <w:rsid w:val="00B37199"/>
    <w:rsid w:val="00B63FE3"/>
    <w:rsid w:val="00BC79F6"/>
    <w:rsid w:val="00BE0F67"/>
    <w:rsid w:val="00C13EAB"/>
    <w:rsid w:val="00C339B5"/>
    <w:rsid w:val="00C34DAA"/>
    <w:rsid w:val="00C352F7"/>
    <w:rsid w:val="00C46C55"/>
    <w:rsid w:val="00C74389"/>
    <w:rsid w:val="00C866DD"/>
    <w:rsid w:val="00CB7ED9"/>
    <w:rsid w:val="00CC710D"/>
    <w:rsid w:val="00CE6E6D"/>
    <w:rsid w:val="00D12F62"/>
    <w:rsid w:val="00D179F6"/>
    <w:rsid w:val="00D3428D"/>
    <w:rsid w:val="00D57546"/>
    <w:rsid w:val="00D75946"/>
    <w:rsid w:val="00D95040"/>
    <w:rsid w:val="00DA60B4"/>
    <w:rsid w:val="00DB0133"/>
    <w:rsid w:val="00DB3C98"/>
    <w:rsid w:val="00DD4CDC"/>
    <w:rsid w:val="00DF2A44"/>
    <w:rsid w:val="00E056E1"/>
    <w:rsid w:val="00E34C13"/>
    <w:rsid w:val="00E43CAE"/>
    <w:rsid w:val="00E47082"/>
    <w:rsid w:val="00E53D56"/>
    <w:rsid w:val="00E657D7"/>
    <w:rsid w:val="00E7073B"/>
    <w:rsid w:val="00EA0160"/>
    <w:rsid w:val="00EA7E6B"/>
    <w:rsid w:val="00EE015C"/>
    <w:rsid w:val="00EE60EC"/>
    <w:rsid w:val="00F051BA"/>
    <w:rsid w:val="00F05D2A"/>
    <w:rsid w:val="00F06376"/>
    <w:rsid w:val="00F12397"/>
    <w:rsid w:val="00F2203D"/>
    <w:rsid w:val="00F37DBA"/>
    <w:rsid w:val="00F44021"/>
    <w:rsid w:val="00F55FD2"/>
    <w:rsid w:val="00F81D42"/>
    <w:rsid w:val="00F86063"/>
    <w:rsid w:val="00FA5CB2"/>
    <w:rsid w:val="00FB381A"/>
    <w:rsid w:val="00FE69D5"/>
    <w:rsid w:val="00FF2932"/>
    <w:rsid w:val="015D098F"/>
    <w:rsid w:val="01CF0047"/>
    <w:rsid w:val="070506EC"/>
    <w:rsid w:val="075317C8"/>
    <w:rsid w:val="075A0ED9"/>
    <w:rsid w:val="07715A45"/>
    <w:rsid w:val="07822601"/>
    <w:rsid w:val="07B125F1"/>
    <w:rsid w:val="08FC536B"/>
    <w:rsid w:val="095D48E9"/>
    <w:rsid w:val="09633E9F"/>
    <w:rsid w:val="09640C62"/>
    <w:rsid w:val="0AAB0426"/>
    <w:rsid w:val="0AFA363D"/>
    <w:rsid w:val="0B7D49E1"/>
    <w:rsid w:val="0BD718D4"/>
    <w:rsid w:val="0E7F1DA1"/>
    <w:rsid w:val="0E9D0B3D"/>
    <w:rsid w:val="0EBD5E97"/>
    <w:rsid w:val="0FFE069C"/>
    <w:rsid w:val="1057147F"/>
    <w:rsid w:val="10770EBC"/>
    <w:rsid w:val="11B21E16"/>
    <w:rsid w:val="13110C04"/>
    <w:rsid w:val="14BF774E"/>
    <w:rsid w:val="17350DDD"/>
    <w:rsid w:val="174E74E0"/>
    <w:rsid w:val="17D85436"/>
    <w:rsid w:val="19BC4689"/>
    <w:rsid w:val="1A444AF6"/>
    <w:rsid w:val="1A634A0E"/>
    <w:rsid w:val="1B0946A1"/>
    <w:rsid w:val="1C330D80"/>
    <w:rsid w:val="1CDD1EFA"/>
    <w:rsid w:val="1D503E5D"/>
    <w:rsid w:val="1E504FD7"/>
    <w:rsid w:val="1E8D74D4"/>
    <w:rsid w:val="1F6B0B18"/>
    <w:rsid w:val="22696270"/>
    <w:rsid w:val="251D0856"/>
    <w:rsid w:val="25335187"/>
    <w:rsid w:val="288E4D1A"/>
    <w:rsid w:val="28A5402E"/>
    <w:rsid w:val="2B4B56F2"/>
    <w:rsid w:val="2BA01C19"/>
    <w:rsid w:val="2C4E3E0A"/>
    <w:rsid w:val="2D1F39B0"/>
    <w:rsid w:val="2F9A6F1E"/>
    <w:rsid w:val="300B6B8D"/>
    <w:rsid w:val="3110320B"/>
    <w:rsid w:val="31D76692"/>
    <w:rsid w:val="326C73FA"/>
    <w:rsid w:val="339C0F52"/>
    <w:rsid w:val="36863F0F"/>
    <w:rsid w:val="37923BE9"/>
    <w:rsid w:val="39596373"/>
    <w:rsid w:val="3BCE3D33"/>
    <w:rsid w:val="3C9A0AFC"/>
    <w:rsid w:val="3E373588"/>
    <w:rsid w:val="3F4A7070"/>
    <w:rsid w:val="40BF4106"/>
    <w:rsid w:val="477F402E"/>
    <w:rsid w:val="486B12EC"/>
    <w:rsid w:val="4977689F"/>
    <w:rsid w:val="49A144A8"/>
    <w:rsid w:val="4A153EF5"/>
    <w:rsid w:val="4ABD5BD2"/>
    <w:rsid w:val="4CAB2946"/>
    <w:rsid w:val="4D656B1A"/>
    <w:rsid w:val="4EA374C2"/>
    <w:rsid w:val="4FE313A4"/>
    <w:rsid w:val="50214D50"/>
    <w:rsid w:val="518B3114"/>
    <w:rsid w:val="544F0512"/>
    <w:rsid w:val="55906585"/>
    <w:rsid w:val="564C6E38"/>
    <w:rsid w:val="596F6FD1"/>
    <w:rsid w:val="5B4C130D"/>
    <w:rsid w:val="5C246C88"/>
    <w:rsid w:val="5F027BED"/>
    <w:rsid w:val="61C164CF"/>
    <w:rsid w:val="63AF2B1F"/>
    <w:rsid w:val="649A6BB0"/>
    <w:rsid w:val="64E803FF"/>
    <w:rsid w:val="65D75BD7"/>
    <w:rsid w:val="690A2207"/>
    <w:rsid w:val="6AA119CA"/>
    <w:rsid w:val="6DBF1466"/>
    <w:rsid w:val="6E861B1A"/>
    <w:rsid w:val="73860D18"/>
    <w:rsid w:val="73C62723"/>
    <w:rsid w:val="75884A1C"/>
    <w:rsid w:val="76532837"/>
    <w:rsid w:val="77024017"/>
    <w:rsid w:val="77AE1A34"/>
    <w:rsid w:val="77F24C92"/>
    <w:rsid w:val="78CD060D"/>
    <w:rsid w:val="7F300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semiHidden="0" w:unhideWhenUsed="0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Body Text" w:semiHidden="0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CB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FA5CB2"/>
    <w:pPr>
      <w:jc w:val="left"/>
    </w:pPr>
  </w:style>
  <w:style w:type="paragraph" w:styleId="a4">
    <w:name w:val="Balloon Text"/>
    <w:basedOn w:val="a"/>
    <w:link w:val="Char0"/>
    <w:rsid w:val="00FA5CB2"/>
    <w:rPr>
      <w:sz w:val="18"/>
      <w:szCs w:val="18"/>
    </w:rPr>
  </w:style>
  <w:style w:type="paragraph" w:styleId="a5">
    <w:name w:val="footer"/>
    <w:basedOn w:val="a"/>
    <w:link w:val="Char1"/>
    <w:qFormat/>
    <w:rsid w:val="00FA5C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FA5C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sid w:val="00FA5CB2"/>
    <w:rPr>
      <w:b/>
      <w:bCs/>
    </w:rPr>
  </w:style>
  <w:style w:type="character" w:styleId="a8">
    <w:name w:val="annotation reference"/>
    <w:basedOn w:val="a0"/>
    <w:rsid w:val="00FA5CB2"/>
    <w:rPr>
      <w:sz w:val="21"/>
      <w:szCs w:val="21"/>
    </w:rPr>
  </w:style>
  <w:style w:type="paragraph" w:styleId="a9">
    <w:name w:val="List Paragraph"/>
    <w:basedOn w:val="a"/>
    <w:uiPriority w:val="34"/>
    <w:qFormat/>
    <w:rsid w:val="00FA5CB2"/>
    <w:pPr>
      <w:ind w:firstLineChars="200" w:firstLine="420"/>
    </w:pPr>
  </w:style>
  <w:style w:type="character" w:customStyle="1" w:styleId="Char2">
    <w:name w:val="页眉 Char"/>
    <w:basedOn w:val="a0"/>
    <w:link w:val="a6"/>
    <w:qFormat/>
    <w:rsid w:val="00FA5CB2"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sid w:val="00FA5CB2"/>
    <w:rPr>
      <w:kern w:val="2"/>
      <w:sz w:val="18"/>
      <w:szCs w:val="18"/>
    </w:rPr>
  </w:style>
  <w:style w:type="character" w:customStyle="1" w:styleId="Char0">
    <w:name w:val="批注框文本 Char"/>
    <w:basedOn w:val="a0"/>
    <w:link w:val="a4"/>
    <w:qFormat/>
    <w:rsid w:val="00FA5CB2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sid w:val="00FA5CB2"/>
    <w:rPr>
      <w:kern w:val="2"/>
      <w:sz w:val="21"/>
      <w:szCs w:val="22"/>
    </w:rPr>
  </w:style>
  <w:style w:type="character" w:customStyle="1" w:styleId="Char3">
    <w:name w:val="批注主题 Char"/>
    <w:basedOn w:val="Char"/>
    <w:link w:val="a7"/>
    <w:rsid w:val="00FA5CB2"/>
    <w:rPr>
      <w:b/>
      <w:bCs/>
      <w:kern w:val="2"/>
      <w:sz w:val="21"/>
      <w:szCs w:val="22"/>
    </w:rPr>
  </w:style>
  <w:style w:type="paragraph" w:customStyle="1" w:styleId="1">
    <w:name w:val="修订1"/>
    <w:hidden/>
    <w:uiPriority w:val="99"/>
    <w:semiHidden/>
    <w:rsid w:val="00FA5CB2"/>
    <w:rPr>
      <w:kern w:val="2"/>
      <w:sz w:val="21"/>
      <w:szCs w:val="22"/>
    </w:rPr>
  </w:style>
  <w:style w:type="paragraph" w:styleId="aa">
    <w:name w:val="Plain Text"/>
    <w:basedOn w:val="a"/>
    <w:link w:val="Char4"/>
    <w:uiPriority w:val="99"/>
    <w:unhideWhenUsed/>
    <w:rsid w:val="00760CBF"/>
    <w:pPr>
      <w:adjustRightInd w:val="0"/>
      <w:spacing w:line="312" w:lineRule="atLeast"/>
      <w:textAlignment w:val="baseline"/>
    </w:pPr>
    <w:rPr>
      <w:rFonts w:ascii="宋体" w:eastAsia="宋体" w:hAnsi="Courier New" w:cs="Times New Roman"/>
      <w:kern w:val="0"/>
      <w:szCs w:val="20"/>
    </w:rPr>
  </w:style>
  <w:style w:type="character" w:customStyle="1" w:styleId="Char4">
    <w:name w:val="纯文本 Char"/>
    <w:basedOn w:val="a0"/>
    <w:link w:val="aa"/>
    <w:uiPriority w:val="99"/>
    <w:rsid w:val="00760CBF"/>
    <w:rPr>
      <w:rFonts w:ascii="宋体" w:eastAsia="宋体" w:hAnsi="Courier New" w:cs="Times New Roman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1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3A8D129-EB10-43D7-8579-7B50D62BA77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504</Words>
  <Characters>2878</Characters>
  <Application>Microsoft Office Word</Application>
  <DocSecurity>0</DocSecurity>
  <Lines>23</Lines>
  <Paragraphs>6</Paragraphs>
  <ScaleCrop>false</ScaleCrop>
  <Company/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21</cp:revision>
  <cp:lastPrinted>2020-07-24T02:02:00Z</cp:lastPrinted>
  <dcterms:created xsi:type="dcterms:W3CDTF">2020-08-10T03:12:00Z</dcterms:created>
  <dcterms:modified xsi:type="dcterms:W3CDTF">2020-08-30T02:12:00Z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